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0DADD" w14:textId="77777777" w:rsidR="00F01150" w:rsidRDefault="00F01150">
      <w:pPr>
        <w:rPr>
          <w:rFonts w:ascii="Merriweather" w:eastAsia="Merriweather" w:hAnsi="Merriweather" w:cs="Merriweather"/>
          <w:b/>
          <w:color w:val="674EA7"/>
          <w:sz w:val="32"/>
          <w:szCs w:val="32"/>
        </w:rPr>
      </w:pPr>
    </w:p>
    <w:p w14:paraId="53B92ED8" w14:textId="7E0F22E8" w:rsidR="00F01150" w:rsidRDefault="00817E65">
      <w:pPr>
        <w:jc w:val="center"/>
        <w:rPr>
          <w:rFonts w:ascii="Merriweather" w:eastAsia="Merriweather" w:hAnsi="Merriweather" w:cs="Merriweather"/>
          <w:b/>
          <w:color w:val="674EA7"/>
          <w:sz w:val="32"/>
          <w:szCs w:val="32"/>
        </w:rPr>
      </w:pPr>
      <w:r>
        <w:rPr>
          <w:rFonts w:ascii="Merriweather" w:hAnsi="Merriweather"/>
          <w:b/>
          <w:color w:val="674EA7"/>
          <w:sz w:val="32"/>
        </w:rPr>
        <w:t xml:space="preserve">Guia do Processo de </w:t>
      </w:r>
      <w:proofErr w:type="spellStart"/>
      <w:r>
        <w:rPr>
          <w:rFonts w:ascii="Merriweather" w:hAnsi="Merriweather"/>
          <w:b/>
          <w:color w:val="674EA7"/>
          <w:sz w:val="32"/>
        </w:rPr>
        <w:t>Acção</w:t>
      </w:r>
      <w:proofErr w:type="spellEnd"/>
      <w:r>
        <w:rPr>
          <w:rFonts w:ascii="Merriweather" w:hAnsi="Merriweather"/>
          <w:b/>
          <w:color w:val="674EA7"/>
          <w:sz w:val="32"/>
        </w:rPr>
        <w:t xml:space="preserve"> de Sobrevivência Infantil</w:t>
      </w:r>
    </w:p>
    <w:p w14:paraId="0246F727" w14:textId="129A6078" w:rsidR="00F01150" w:rsidRPr="00125F2B" w:rsidRDefault="00817E65">
      <w:pPr>
        <w:jc w:val="center"/>
        <w:rPr>
          <w:rFonts w:ascii="Merriweather" w:eastAsia="Merriweather" w:hAnsi="Merriweather" w:cs="Merriweather"/>
          <w:i/>
          <w:sz w:val="24"/>
          <w:szCs w:val="24"/>
        </w:rPr>
      </w:pPr>
      <w:r>
        <w:rPr>
          <w:rFonts w:ascii="Merriweather" w:hAnsi="Merriweather"/>
          <w:i/>
          <w:sz w:val="24"/>
        </w:rPr>
        <w:t xml:space="preserve">Caminhos para a definição de </w:t>
      </w:r>
      <w:proofErr w:type="spellStart"/>
      <w:r>
        <w:rPr>
          <w:rFonts w:ascii="Merriweather" w:hAnsi="Merriweather"/>
          <w:i/>
          <w:sz w:val="24"/>
        </w:rPr>
        <w:t>acções</w:t>
      </w:r>
      <w:proofErr w:type="spellEnd"/>
      <w:r>
        <w:rPr>
          <w:rFonts w:ascii="Merriweather" w:hAnsi="Merriweather"/>
          <w:i/>
          <w:sz w:val="24"/>
        </w:rPr>
        <w:t xml:space="preserve"> prioritárias para a sobrevivência infantil.</w:t>
      </w:r>
    </w:p>
    <w:p w14:paraId="77844F1C" w14:textId="77777777" w:rsidR="00F01150" w:rsidRDefault="00F01150">
      <w:pPr>
        <w:rPr>
          <w:rFonts w:ascii="Merriweather" w:eastAsia="Merriweather" w:hAnsi="Merriweather" w:cs="Merriweather"/>
          <w:sz w:val="28"/>
          <w:szCs w:val="28"/>
          <w:u w:val="single"/>
        </w:rPr>
      </w:pPr>
    </w:p>
    <w:p w14:paraId="29DBCB01" w14:textId="77777777" w:rsidR="00F01150" w:rsidRDefault="00817E65">
      <w:pPr>
        <w:rPr>
          <w:rFonts w:ascii="Merriweather" w:eastAsia="Merriweather" w:hAnsi="Merriweather" w:cs="Merriweather"/>
          <w:b/>
          <w:color w:val="674EA7"/>
          <w:sz w:val="26"/>
          <w:szCs w:val="26"/>
        </w:rPr>
      </w:pPr>
      <w:r>
        <w:rPr>
          <w:rFonts w:ascii="Merriweather" w:hAnsi="Merriweather"/>
          <w:b/>
          <w:color w:val="674EA7"/>
          <w:sz w:val="26"/>
        </w:rPr>
        <w:t>Introdução</w:t>
      </w:r>
    </w:p>
    <w:p w14:paraId="7007AA12" w14:textId="77777777" w:rsidR="00F01150" w:rsidRPr="00125F2B" w:rsidRDefault="00817E65">
      <w:pPr>
        <w:shd w:val="clear" w:color="auto" w:fill="FFFFFF"/>
        <w:spacing w:after="300"/>
        <w:rPr>
          <w:rFonts w:ascii="Merriweather" w:eastAsia="Merriweather" w:hAnsi="Merriweather" w:cs="Merriweather"/>
        </w:rPr>
      </w:pPr>
      <w:r>
        <w:rPr>
          <w:rFonts w:ascii="Merriweather" w:hAnsi="Merriweather"/>
        </w:rPr>
        <w:t xml:space="preserve">A </w:t>
      </w:r>
      <w:proofErr w:type="spellStart"/>
      <w:r>
        <w:rPr>
          <w:rFonts w:ascii="Merriweather" w:hAnsi="Merriweather"/>
        </w:rPr>
        <w:t>Acção</w:t>
      </w:r>
      <w:proofErr w:type="spellEnd"/>
      <w:r>
        <w:rPr>
          <w:rFonts w:ascii="Merriweather" w:hAnsi="Merriweather"/>
        </w:rPr>
        <w:t xml:space="preserve"> de Sobrevivência Infantil (CSA) é um apelo renovado a todos os parceiros - governos nacionais, líderes cívicos e tradicionais, comunidades e partes interessadas regionais e globais - para acabar com as mortes infantis evitáveis. A iniciativa apela aos parceiros para que se unam para enfrentar os desafios programáticos e do sistema de saúde que dificultam o progresso no domínio da sobrevivência infantil, especialmente nos países que não estão no bom caminho para atingir as suas metas para 2030 em matéria de mortalidade de crianças com menos de cinco anos. Para ultrapassar estes obstáculos, será necessária uma liderança nacional e </w:t>
      </w:r>
      <w:proofErr w:type="spellStart"/>
      <w:r>
        <w:rPr>
          <w:rFonts w:ascii="Merriweather" w:hAnsi="Merriweather"/>
        </w:rPr>
        <w:t>sub-nacional</w:t>
      </w:r>
      <w:proofErr w:type="spellEnd"/>
      <w:r>
        <w:rPr>
          <w:rFonts w:ascii="Merriweather" w:hAnsi="Merriweather"/>
        </w:rPr>
        <w:t xml:space="preserve"> forte, a expansão de investimentos estratégicos nos cuidados de saúde primários (CSP) e em </w:t>
      </w:r>
      <w:proofErr w:type="spellStart"/>
      <w:r>
        <w:rPr>
          <w:rFonts w:ascii="Merriweather" w:hAnsi="Merriweather"/>
        </w:rPr>
        <w:t>acções</w:t>
      </w:r>
      <w:proofErr w:type="spellEnd"/>
      <w:r>
        <w:rPr>
          <w:rFonts w:ascii="Merriweather" w:hAnsi="Merriweather"/>
        </w:rPr>
        <w:t xml:space="preserve"> </w:t>
      </w:r>
      <w:proofErr w:type="spellStart"/>
      <w:r>
        <w:rPr>
          <w:rFonts w:ascii="Merriweather" w:hAnsi="Merriweather"/>
        </w:rPr>
        <w:t>multi-sectoriais</w:t>
      </w:r>
      <w:proofErr w:type="spellEnd"/>
      <w:r>
        <w:rPr>
          <w:rFonts w:ascii="Merriweather" w:hAnsi="Merriweather"/>
        </w:rPr>
        <w:t>, a mobilização de parcerias entre as partes interessadas e o alinhamento do financiamento e de outras iniciativas. A iniciativa identifica as oportunidades existentes e define as medidas que os parceiros devem tomar para alcançar todas as crianças com intervenções que salvam vidas, alinhando-as com os esforços de saúde materna, neonatal, dos adolescentes e reprodutiva para garantir a sobrevivência ao longo da vida e a continuidade dos cuidados.</w:t>
      </w:r>
    </w:p>
    <w:p w14:paraId="71146408" w14:textId="77777777" w:rsidR="00F01150" w:rsidRPr="00125F2B" w:rsidRDefault="00817E65">
      <w:pPr>
        <w:shd w:val="clear" w:color="auto" w:fill="FFFFFF"/>
        <w:spacing w:after="300"/>
        <w:rPr>
          <w:rFonts w:ascii="Merriweather" w:eastAsia="Merriweather" w:hAnsi="Merriweather" w:cs="Merriweather"/>
        </w:rPr>
      </w:pPr>
      <w:r>
        <w:rPr>
          <w:rFonts w:ascii="Merriweather" w:hAnsi="Merriweather"/>
        </w:rPr>
        <w:t xml:space="preserve">A iniciativa CSA complementa outros esforços que promovem a continuidade dos cuidados de saúde materna, neonatal e infantil e aqueles que se concentram em acabar com as mortes evitáveis, tais como o </w:t>
      </w:r>
      <w:proofErr w:type="spellStart"/>
      <w:r>
        <w:rPr>
          <w:rFonts w:ascii="Merriweather" w:hAnsi="Merriweather"/>
          <w:i/>
          <w:iCs/>
        </w:rPr>
        <w:t>Ending</w:t>
      </w:r>
      <w:proofErr w:type="spellEnd"/>
      <w:r>
        <w:rPr>
          <w:rFonts w:ascii="Merriweather" w:hAnsi="Merriweather"/>
          <w:i/>
          <w:iCs/>
        </w:rPr>
        <w:t xml:space="preserve"> </w:t>
      </w:r>
      <w:proofErr w:type="spellStart"/>
      <w:r>
        <w:rPr>
          <w:rFonts w:ascii="Merriweather" w:hAnsi="Merriweather"/>
          <w:i/>
          <w:iCs/>
        </w:rPr>
        <w:t>Preventable</w:t>
      </w:r>
      <w:proofErr w:type="spellEnd"/>
      <w:r>
        <w:rPr>
          <w:rFonts w:ascii="Merriweather" w:hAnsi="Merriweather"/>
          <w:i/>
          <w:iCs/>
        </w:rPr>
        <w:t xml:space="preserve"> Maternal </w:t>
      </w:r>
      <w:proofErr w:type="spellStart"/>
      <w:r>
        <w:rPr>
          <w:rFonts w:ascii="Merriweather" w:hAnsi="Merriweather"/>
          <w:i/>
          <w:iCs/>
        </w:rPr>
        <w:t>Mortality</w:t>
      </w:r>
      <w:proofErr w:type="spellEnd"/>
      <w:r>
        <w:rPr>
          <w:rFonts w:ascii="Merriweather" w:hAnsi="Merriweather"/>
        </w:rPr>
        <w:t xml:space="preserve"> (EPMM) e o </w:t>
      </w:r>
      <w:proofErr w:type="spellStart"/>
      <w:r>
        <w:rPr>
          <w:rFonts w:ascii="Merriweather" w:hAnsi="Merriweather"/>
          <w:i/>
          <w:iCs/>
        </w:rPr>
        <w:t>Every</w:t>
      </w:r>
      <w:proofErr w:type="spellEnd"/>
      <w:r>
        <w:rPr>
          <w:rFonts w:ascii="Merriweather" w:hAnsi="Merriweather"/>
          <w:i/>
          <w:iCs/>
        </w:rPr>
        <w:t xml:space="preserve"> </w:t>
      </w:r>
      <w:proofErr w:type="spellStart"/>
      <w:r>
        <w:rPr>
          <w:rFonts w:ascii="Merriweather" w:hAnsi="Merriweather"/>
          <w:i/>
          <w:iCs/>
        </w:rPr>
        <w:t>Newborn</w:t>
      </w:r>
      <w:proofErr w:type="spellEnd"/>
      <w:r>
        <w:rPr>
          <w:rFonts w:ascii="Merriweather" w:hAnsi="Merriweather"/>
          <w:i/>
          <w:iCs/>
        </w:rPr>
        <w:t xml:space="preserve"> </w:t>
      </w:r>
      <w:proofErr w:type="spellStart"/>
      <w:r>
        <w:rPr>
          <w:rFonts w:ascii="Merriweather" w:hAnsi="Merriweather"/>
          <w:i/>
          <w:iCs/>
        </w:rPr>
        <w:t>Action</w:t>
      </w:r>
      <w:proofErr w:type="spellEnd"/>
      <w:r>
        <w:rPr>
          <w:rFonts w:ascii="Merriweather" w:hAnsi="Merriweather"/>
          <w:i/>
          <w:iCs/>
        </w:rPr>
        <w:t xml:space="preserve"> </w:t>
      </w:r>
      <w:proofErr w:type="spellStart"/>
      <w:r>
        <w:rPr>
          <w:rFonts w:ascii="Merriweather" w:hAnsi="Merriweather"/>
          <w:i/>
          <w:iCs/>
        </w:rPr>
        <w:t>Plan</w:t>
      </w:r>
      <w:proofErr w:type="spellEnd"/>
      <w:r>
        <w:rPr>
          <w:rFonts w:ascii="Merriweather" w:hAnsi="Merriweather"/>
        </w:rPr>
        <w:t xml:space="preserve"> (ENAP). A iniciativa também está alinhada com os programas que visam chegar aos não-alcançados, por exemplo, as crianças com dose zero de imunizações essenciais, que são críticas para acabar com a mortalidade infantil.</w:t>
      </w:r>
    </w:p>
    <w:p w14:paraId="364E6B89" w14:textId="77777777" w:rsidR="00F01150" w:rsidRPr="00125F2B" w:rsidRDefault="00817E65">
      <w:pPr>
        <w:shd w:val="clear" w:color="auto" w:fill="FFFFFF"/>
        <w:spacing w:after="300"/>
        <w:rPr>
          <w:rFonts w:ascii="Merriweather" w:eastAsia="Merriweather" w:hAnsi="Merriweather" w:cs="Merriweather"/>
        </w:rPr>
      </w:pPr>
      <w:r>
        <w:rPr>
          <w:rFonts w:ascii="Merriweather" w:hAnsi="Merriweather"/>
        </w:rPr>
        <w:t>Os principais componentes a considerar numa iniciativa de CSA liderada por um país incluem:</w:t>
      </w:r>
    </w:p>
    <w:p w14:paraId="6B4AE7EF" w14:textId="77777777" w:rsidR="004D7F62" w:rsidRPr="004D7F62" w:rsidRDefault="00817E65">
      <w:pPr>
        <w:numPr>
          <w:ilvl w:val="0"/>
          <w:numId w:val="6"/>
        </w:numPr>
        <w:shd w:val="clear" w:color="auto" w:fill="FFFFFF"/>
        <w:spacing w:after="380"/>
      </w:pPr>
      <w:r>
        <w:rPr>
          <w:rFonts w:ascii="Merriweather" w:hAnsi="Merriweather"/>
          <w:b/>
          <w:bCs/>
        </w:rPr>
        <w:t xml:space="preserve">Planos nacionais e </w:t>
      </w:r>
      <w:proofErr w:type="spellStart"/>
      <w:r>
        <w:rPr>
          <w:rFonts w:ascii="Merriweather" w:hAnsi="Merriweather"/>
          <w:b/>
          <w:bCs/>
        </w:rPr>
        <w:t>sub-nacionais</w:t>
      </w:r>
      <w:proofErr w:type="spellEnd"/>
      <w:r>
        <w:rPr>
          <w:rFonts w:ascii="Merriweather" w:hAnsi="Merriweather"/>
          <w:b/>
          <w:bCs/>
        </w:rPr>
        <w:t xml:space="preserve"> bem definidos, priorizados e orçamentados</w:t>
      </w:r>
      <w:r>
        <w:rPr>
          <w:rFonts w:ascii="Merriweather" w:hAnsi="Merriweather"/>
        </w:rPr>
        <w:t>, que abrangem todo o espectro de serviços essenciais de saúde infantil, em especial os que se centram nas principais causas de mortalidade infantil para além do primeiro mês de vida - pneumonia, diarreia e malária. Os planos devem basear-se em evidências e considerar ligações sólidas entre programas de saúde relevantes (por exemplo, Gestão Integrada das Doenças Infantis (IMCI), Gestão Comunitária Integrada de Casos (</w:t>
      </w:r>
      <w:proofErr w:type="spellStart"/>
      <w:r>
        <w:rPr>
          <w:rFonts w:ascii="Merriweather" w:hAnsi="Merriweather"/>
        </w:rPr>
        <w:t>iCCM</w:t>
      </w:r>
      <w:proofErr w:type="spellEnd"/>
      <w:r>
        <w:rPr>
          <w:rFonts w:ascii="Merriweather" w:hAnsi="Merriweather"/>
        </w:rPr>
        <w:t>), imunização, controlo da</w:t>
      </w:r>
      <w:r w:rsidR="004D7F62">
        <w:rPr>
          <w:rFonts w:ascii="Merriweather" w:hAnsi="Merriweather"/>
        </w:rPr>
        <w:t xml:space="preserve"> </w:t>
      </w:r>
    </w:p>
    <w:p w14:paraId="79803E82" w14:textId="3DB531F9" w:rsidR="00F01150" w:rsidRPr="00125F2B" w:rsidRDefault="00817E65" w:rsidP="004D7F62">
      <w:pPr>
        <w:shd w:val="clear" w:color="auto" w:fill="FFFFFF"/>
        <w:spacing w:after="380"/>
        <w:ind w:left="720"/>
      </w:pPr>
      <w:r>
        <w:rPr>
          <w:rFonts w:ascii="Merriweather" w:hAnsi="Merriweather"/>
        </w:rPr>
        <w:lastRenderedPageBreak/>
        <w:t xml:space="preserve">malária) e outros sectores que contribuem para a saúde infantil (por exemplo, nutrição, água, saneamento e higiene (WASH), ambiente). Devem também ser equilibrados para apoiar a continuidade dos cuidados, desde a gravidez até à primeira infância, nas comunidades e nas plataformas dos serviços de saúde, e desenvolvidos sob a liderança do governo com a participação das comunidades </w:t>
      </w:r>
      <w:proofErr w:type="spellStart"/>
      <w:r>
        <w:rPr>
          <w:rFonts w:ascii="Merriweather" w:hAnsi="Merriweather"/>
        </w:rPr>
        <w:t>afectadas</w:t>
      </w:r>
      <w:proofErr w:type="spellEnd"/>
      <w:r>
        <w:rPr>
          <w:rFonts w:ascii="Merriweather" w:hAnsi="Merriweather"/>
        </w:rPr>
        <w:t>, da sociedade civil e de outras partes interessadas.</w:t>
      </w:r>
    </w:p>
    <w:p w14:paraId="47EAF5F7" w14:textId="77777777" w:rsidR="00F01150" w:rsidRPr="00125F2B" w:rsidRDefault="00F01150">
      <w:pPr>
        <w:shd w:val="clear" w:color="auto" w:fill="FFFFFF"/>
        <w:spacing w:after="380"/>
        <w:ind w:left="720"/>
        <w:rPr>
          <w:rFonts w:ascii="Merriweather" w:eastAsia="Merriweather" w:hAnsi="Merriweather" w:cs="Merriweather"/>
          <w:b/>
        </w:rPr>
      </w:pPr>
    </w:p>
    <w:p w14:paraId="1BEADE92" w14:textId="77777777" w:rsidR="00F01150" w:rsidRPr="00125F2B" w:rsidRDefault="00817E65">
      <w:pPr>
        <w:numPr>
          <w:ilvl w:val="0"/>
          <w:numId w:val="6"/>
        </w:numPr>
        <w:shd w:val="clear" w:color="auto" w:fill="FFFFFF"/>
      </w:pPr>
      <w:r>
        <w:rPr>
          <w:rFonts w:ascii="Merriweather" w:hAnsi="Merriweather"/>
          <w:b/>
          <w:bCs/>
        </w:rPr>
        <w:t>A liderança e a gestão empenhadas, informadas e eficazes no domínio da saúde</w:t>
      </w:r>
      <w:r>
        <w:rPr>
          <w:rFonts w:ascii="Merriweather" w:hAnsi="Merriweather"/>
        </w:rPr>
        <w:t xml:space="preserve"> devem existir a nível nacional e </w:t>
      </w:r>
      <w:proofErr w:type="spellStart"/>
      <w:r>
        <w:rPr>
          <w:rFonts w:ascii="Merriweather" w:hAnsi="Merriweather"/>
        </w:rPr>
        <w:t>sub-nacional</w:t>
      </w:r>
      <w:proofErr w:type="spellEnd"/>
      <w:r>
        <w:rPr>
          <w:rFonts w:ascii="Merriweather" w:hAnsi="Merriweather"/>
        </w:rPr>
        <w:t xml:space="preserve"> para apoiar a execução de planos bem definidos. A liderança e a gestão proporcionam uma administração essencial das estratégias nacionais e </w:t>
      </w:r>
      <w:proofErr w:type="spellStart"/>
      <w:r>
        <w:rPr>
          <w:rFonts w:ascii="Merriweather" w:hAnsi="Merriweather"/>
        </w:rPr>
        <w:t>sub-nacionais</w:t>
      </w:r>
      <w:proofErr w:type="spellEnd"/>
      <w:r>
        <w:rPr>
          <w:rFonts w:ascii="Merriweather" w:hAnsi="Merriweather"/>
        </w:rPr>
        <w:t>, mobilizam e coordenam recursos e parceiros, asseguram a implementação sólida dos esforços prioritários e prestam contas aos governos e às comunidades pela obtenção dos resultados.</w:t>
      </w:r>
    </w:p>
    <w:p w14:paraId="1C6958B7" w14:textId="6B254715" w:rsidR="00F01150" w:rsidRPr="00125F2B" w:rsidRDefault="00817E65">
      <w:pPr>
        <w:numPr>
          <w:ilvl w:val="0"/>
          <w:numId w:val="6"/>
        </w:numPr>
        <w:pBdr>
          <w:top w:val="nil"/>
          <w:left w:val="nil"/>
          <w:bottom w:val="nil"/>
          <w:right w:val="nil"/>
          <w:between w:val="nil"/>
        </w:pBdr>
        <w:shd w:val="clear" w:color="auto" w:fill="FFFFFF"/>
      </w:pPr>
      <w:r>
        <w:rPr>
          <w:rFonts w:ascii="Merriweather" w:hAnsi="Merriweather"/>
          <w:b/>
          <w:bCs/>
        </w:rPr>
        <w:t>A colaboração</w:t>
      </w:r>
      <w:r>
        <w:rPr>
          <w:rFonts w:ascii="Merriweather" w:hAnsi="Merriweather"/>
        </w:rPr>
        <w:t xml:space="preserve"> ao nível da saúde infantil, saúde materna, saúde de recém-nascidos, imunização, nutrição e a promoção da saúde é fundamental para permitir uma </w:t>
      </w:r>
      <w:proofErr w:type="spellStart"/>
      <w:r>
        <w:rPr>
          <w:rFonts w:ascii="Merriweather" w:hAnsi="Merriweather"/>
        </w:rPr>
        <w:t>acção</w:t>
      </w:r>
      <w:proofErr w:type="spellEnd"/>
      <w:r>
        <w:rPr>
          <w:rFonts w:ascii="Merriweather" w:hAnsi="Merriweather"/>
        </w:rPr>
        <w:t xml:space="preserve"> coordenada na prestação de serviços de saúde inclusivos e abrangentes. Além disso, as colaborações </w:t>
      </w:r>
      <w:proofErr w:type="spellStart"/>
      <w:r>
        <w:rPr>
          <w:rFonts w:ascii="Merriweather" w:hAnsi="Merriweather"/>
        </w:rPr>
        <w:t>multi-sectoriais</w:t>
      </w:r>
      <w:proofErr w:type="spellEnd"/>
      <w:r>
        <w:rPr>
          <w:rFonts w:ascii="Merriweather" w:hAnsi="Merriweather"/>
        </w:rPr>
        <w:t xml:space="preserve"> envolvendo a WASH, ar puro, </w:t>
      </w:r>
      <w:proofErr w:type="spellStart"/>
      <w:r>
        <w:rPr>
          <w:rFonts w:ascii="Merriweather" w:hAnsi="Merriweather"/>
        </w:rPr>
        <w:t>protecção</w:t>
      </w:r>
      <w:proofErr w:type="spellEnd"/>
      <w:r>
        <w:rPr>
          <w:rFonts w:ascii="Merriweather" w:hAnsi="Merriweather"/>
        </w:rPr>
        <w:t xml:space="preserve"> infantil, educação e bem-estar social são fundamentais para o </w:t>
      </w:r>
      <w:proofErr w:type="spellStart"/>
      <w:r>
        <w:rPr>
          <w:rFonts w:ascii="Merriweather" w:hAnsi="Merriweather"/>
        </w:rPr>
        <w:t>objectivo</w:t>
      </w:r>
      <w:proofErr w:type="spellEnd"/>
      <w:r>
        <w:rPr>
          <w:rFonts w:ascii="Merriweather" w:hAnsi="Merriweather"/>
        </w:rPr>
        <w:t xml:space="preserve"> geral de acelerar a redução da mortalidade infantil.</w:t>
      </w:r>
    </w:p>
    <w:p w14:paraId="107D1783" w14:textId="05CE4F1D" w:rsidR="00F01150" w:rsidRPr="00125F2B" w:rsidRDefault="00817E65">
      <w:pPr>
        <w:numPr>
          <w:ilvl w:val="0"/>
          <w:numId w:val="6"/>
        </w:numPr>
        <w:shd w:val="clear" w:color="auto" w:fill="FFFFFF"/>
      </w:pPr>
      <w:r>
        <w:rPr>
          <w:rFonts w:ascii="Merriweather" w:hAnsi="Merriweather"/>
          <w:b/>
          <w:bCs/>
        </w:rPr>
        <w:t xml:space="preserve">Mobilização e </w:t>
      </w:r>
      <w:proofErr w:type="spellStart"/>
      <w:r>
        <w:rPr>
          <w:rFonts w:ascii="Merriweather" w:hAnsi="Merriweather"/>
          <w:b/>
          <w:bCs/>
        </w:rPr>
        <w:t>optimização</w:t>
      </w:r>
      <w:proofErr w:type="spellEnd"/>
      <w:r>
        <w:rPr>
          <w:rFonts w:ascii="Merriweather" w:hAnsi="Merriweather"/>
          <w:b/>
          <w:bCs/>
        </w:rPr>
        <w:t xml:space="preserve"> eficazes dos recursos</w:t>
      </w:r>
      <w:r>
        <w:rPr>
          <w:rFonts w:ascii="Merriweather" w:hAnsi="Merriweather"/>
        </w:rPr>
        <w:t>, que combinem não só o financiamento interno, os investimentos externos agrupados e as abordagens inovadoras, mas também o compromisso de utilizar melhor os recursos existentes.</w:t>
      </w:r>
    </w:p>
    <w:p w14:paraId="29FBA474" w14:textId="6B616E0C" w:rsidR="00F01150" w:rsidRPr="00125F2B" w:rsidRDefault="00817E65">
      <w:pPr>
        <w:numPr>
          <w:ilvl w:val="0"/>
          <w:numId w:val="6"/>
        </w:numPr>
        <w:shd w:val="clear" w:color="auto" w:fill="FFFFFF"/>
      </w:pPr>
      <w:r>
        <w:rPr>
          <w:rFonts w:ascii="Merriweather" w:hAnsi="Merriweather"/>
          <w:b/>
          <w:bCs/>
        </w:rPr>
        <w:t>Uma abordagem sensível à equidade</w:t>
      </w:r>
      <w:r>
        <w:rPr>
          <w:rFonts w:ascii="Merriweather" w:hAnsi="Merriweather"/>
        </w:rPr>
        <w:t xml:space="preserve"> que se baseia nas </w:t>
      </w:r>
      <w:proofErr w:type="spellStart"/>
      <w:r>
        <w:rPr>
          <w:rFonts w:ascii="Merriweather" w:hAnsi="Merriweather"/>
        </w:rPr>
        <w:t>acções</w:t>
      </w:r>
      <w:proofErr w:type="spellEnd"/>
      <w:r>
        <w:rPr>
          <w:rFonts w:ascii="Merriweather" w:hAnsi="Merriweather"/>
        </w:rPr>
        <w:t xml:space="preserve"> para alcançar as crianças com dose zero e </w:t>
      </w:r>
      <w:proofErr w:type="spellStart"/>
      <w:r>
        <w:rPr>
          <w:rFonts w:ascii="Merriweather" w:hAnsi="Merriweather"/>
        </w:rPr>
        <w:t>sub-imunizadas</w:t>
      </w:r>
      <w:proofErr w:type="spellEnd"/>
      <w:r>
        <w:rPr>
          <w:rFonts w:ascii="Merriweather" w:hAnsi="Merriweather"/>
        </w:rPr>
        <w:t>, bem como as crianças com desnutrição aguda e emaciamento, para reduzir o risco de mortalidade em crianças altamente vulneráveis.</w:t>
      </w:r>
    </w:p>
    <w:p w14:paraId="35E0C1E5" w14:textId="77777777" w:rsidR="00F01150" w:rsidRPr="00125F2B" w:rsidRDefault="00817E65">
      <w:pPr>
        <w:numPr>
          <w:ilvl w:val="0"/>
          <w:numId w:val="6"/>
        </w:numPr>
        <w:shd w:val="clear" w:color="auto" w:fill="FFFFFF"/>
        <w:spacing w:after="300"/>
      </w:pPr>
      <w:r>
        <w:rPr>
          <w:rFonts w:ascii="Merriweather" w:hAnsi="Merriweather"/>
          <w:b/>
          <w:bCs/>
        </w:rPr>
        <w:t>Um quadro sólido de controlo e responsabilização</w:t>
      </w:r>
      <w:r>
        <w:rPr>
          <w:rFonts w:ascii="Merriweather" w:hAnsi="Merriweather"/>
        </w:rPr>
        <w:t xml:space="preserve"> para acompanhar os progressos, aumentar o empenhamento e melhorar a capacidade de resposta. Os dados disponíveis localmente a partir de múltiplas fontes, incluindo sistemas de informação sanitária, avaliações das unidades sanitárias, inquéritos a nível da população e estudos aprofundados, devem ser usados para identificar as populações que necessitam de atenção especial. As competências e as capacidades de liderança e de gestão no domínio da saúde devem ser reforçadas para captar, analisar e utilizar os dados para a tomada de decisões.</w:t>
      </w:r>
    </w:p>
    <w:p w14:paraId="0A7B3A2C" w14:textId="77777777" w:rsidR="00F01150" w:rsidRPr="00125F2B" w:rsidRDefault="00817E65">
      <w:pPr>
        <w:rPr>
          <w:rFonts w:ascii="Merriweather" w:eastAsia="Merriweather" w:hAnsi="Merriweather" w:cs="Merriweather"/>
          <w:sz w:val="28"/>
          <w:szCs w:val="28"/>
          <w:u w:val="single"/>
        </w:rPr>
      </w:pPr>
      <w:proofErr w:type="spellStart"/>
      <w:r>
        <w:rPr>
          <w:rFonts w:ascii="Merriweather" w:hAnsi="Merriweather"/>
          <w:b/>
          <w:sz w:val="26"/>
        </w:rPr>
        <w:lastRenderedPageBreak/>
        <w:t>Objectivo</w:t>
      </w:r>
      <w:proofErr w:type="spellEnd"/>
      <w:r>
        <w:rPr>
          <w:rFonts w:ascii="Merriweather" w:hAnsi="Merriweather"/>
          <w:b/>
          <w:sz w:val="26"/>
        </w:rPr>
        <w:t xml:space="preserve"> do presente documento</w:t>
      </w:r>
    </w:p>
    <w:p w14:paraId="34736481" w14:textId="5D4B406F" w:rsidR="00F01150" w:rsidRDefault="00817E65">
      <w:pPr>
        <w:rPr>
          <w:rFonts w:ascii="Merriweather" w:eastAsia="Merriweather" w:hAnsi="Merriweather" w:cs="Merriweather"/>
        </w:rPr>
      </w:pPr>
      <w:r>
        <w:rPr>
          <w:rFonts w:ascii="Merriweather" w:hAnsi="Merriweather"/>
        </w:rPr>
        <w:t xml:space="preserve">Este guia apoia os esforços dos países visando implementar uma iniciativa nacional de CSA e acelerar os esforços para reduzir a mortalidade infantil. Descreve as </w:t>
      </w:r>
      <w:proofErr w:type="spellStart"/>
      <w:r>
        <w:rPr>
          <w:rFonts w:ascii="Merriweather" w:hAnsi="Merriweather"/>
        </w:rPr>
        <w:t>actividades</w:t>
      </w:r>
      <w:proofErr w:type="spellEnd"/>
      <w:r>
        <w:rPr>
          <w:rFonts w:ascii="Merriweather" w:hAnsi="Merriweather"/>
        </w:rPr>
        <w:t xml:space="preserve"> propostas a considerar ao definir as </w:t>
      </w:r>
      <w:proofErr w:type="spellStart"/>
      <w:r>
        <w:rPr>
          <w:rFonts w:ascii="Merriweather" w:hAnsi="Merriweather"/>
        </w:rPr>
        <w:t>acções</w:t>
      </w:r>
      <w:proofErr w:type="spellEnd"/>
      <w:r>
        <w:rPr>
          <w:rFonts w:ascii="Merriweather" w:hAnsi="Merriweather"/>
        </w:rPr>
        <w:t xml:space="preserve"> prioritárias para a sobrevivência infantil. A situação de cada país é única e começa em pontos diferentes, pelo que não existe um ponto de partida e de chegada definido para o processo. As </w:t>
      </w:r>
      <w:proofErr w:type="spellStart"/>
      <w:r>
        <w:rPr>
          <w:rFonts w:ascii="Merriweather" w:hAnsi="Merriweather"/>
        </w:rPr>
        <w:t>actividades</w:t>
      </w:r>
      <w:proofErr w:type="spellEnd"/>
      <w:r>
        <w:rPr>
          <w:rFonts w:ascii="Merriweather" w:hAnsi="Merriweather"/>
        </w:rPr>
        <w:t xml:space="preserve"> estão organizadas em torno de cinco elementos-chave: advocacia/envolvimento das partes interessadas; revisão e análise; planificação e determinação dos custos; implementação; e medição dos resultados e do impacto. </w:t>
      </w:r>
      <w:r>
        <w:t>Este documento está ligado a</w:t>
      </w:r>
      <w:r>
        <w:rPr>
          <w:rFonts w:ascii="Merriweather" w:hAnsi="Merriweather"/>
        </w:rPr>
        <w:t xml:space="preserve"> </w:t>
      </w:r>
      <w:hyperlink r:id="rId7">
        <w:r>
          <w:rPr>
            <w:rFonts w:ascii="Merriweather" w:hAnsi="Merriweather"/>
            <w:color w:val="1155CC"/>
            <w:u w:val="single"/>
          </w:rPr>
          <w:t>Ferramenta da CSA</w:t>
        </w:r>
      </w:hyperlink>
      <w:r>
        <w:rPr>
          <w:rFonts w:ascii="Merriweather" w:hAnsi="Merriweather"/>
        </w:rPr>
        <w:t xml:space="preserve"> - um repositório de recursos para a planificação da CSA e orientações de implementação. As caixas roxas abaixo das </w:t>
      </w:r>
      <w:proofErr w:type="spellStart"/>
      <w:r>
        <w:rPr>
          <w:rFonts w:ascii="Merriweather" w:hAnsi="Merriweather"/>
        </w:rPr>
        <w:t>actividades</w:t>
      </w:r>
      <w:proofErr w:type="spellEnd"/>
      <w:r>
        <w:rPr>
          <w:rFonts w:ascii="Merriweather" w:hAnsi="Merriweather"/>
        </w:rPr>
        <w:t xml:space="preserve"> alistadas apresentam os recursos </w:t>
      </w:r>
      <w:proofErr w:type="spellStart"/>
      <w:r>
        <w:rPr>
          <w:rFonts w:ascii="Merriweather" w:hAnsi="Merriweather"/>
        </w:rPr>
        <w:t>seleccionados</w:t>
      </w:r>
      <w:proofErr w:type="spellEnd"/>
      <w:r>
        <w:rPr>
          <w:rFonts w:ascii="Merriweather" w:hAnsi="Merriweather"/>
        </w:rPr>
        <w:t xml:space="preserve"> no Kit de Ferramentas da CSA que seriam úteis rever na planificação/operacionalização de cada </w:t>
      </w:r>
      <w:proofErr w:type="spellStart"/>
      <w:r>
        <w:rPr>
          <w:rFonts w:ascii="Merriweather" w:hAnsi="Merriweather"/>
        </w:rPr>
        <w:t>actividade</w:t>
      </w:r>
      <w:proofErr w:type="spellEnd"/>
      <w:r>
        <w:rPr>
          <w:rFonts w:ascii="Merriweather" w:hAnsi="Merriweather"/>
        </w:rPr>
        <w:t>.</w:t>
      </w:r>
    </w:p>
    <w:p w14:paraId="49E37D62" w14:textId="77777777" w:rsidR="00F01150" w:rsidRDefault="00F01150">
      <w:pPr>
        <w:rPr>
          <w:rFonts w:ascii="Merriweather" w:eastAsia="Merriweather" w:hAnsi="Merriweather" w:cs="Merriweather"/>
          <w:color w:val="FF0000"/>
        </w:rPr>
      </w:pPr>
    </w:p>
    <w:p w14:paraId="374DEE3F" w14:textId="77777777" w:rsidR="00F01150" w:rsidRDefault="00F01150">
      <w:pPr>
        <w:rPr>
          <w:rFonts w:ascii="Merriweather" w:eastAsia="Merriweather" w:hAnsi="Merriweather" w:cs="Merriweather"/>
        </w:rPr>
      </w:pPr>
    </w:p>
    <w:p w14:paraId="43B9B1F7" w14:textId="77777777" w:rsidR="00F01150" w:rsidRDefault="00F01150">
      <w:pPr>
        <w:rPr>
          <w:rFonts w:ascii="Merriweather" w:eastAsia="Merriweather" w:hAnsi="Merriweather" w:cs="Merriweather"/>
        </w:rPr>
      </w:pPr>
    </w:p>
    <w:p w14:paraId="45ED2AB8" w14:textId="77777777" w:rsidR="00F01150" w:rsidRDefault="00817E65">
      <w:pPr>
        <w:rPr>
          <w:rFonts w:ascii="Merriweather" w:eastAsia="Merriweather" w:hAnsi="Merriweather" w:cs="Merriweather"/>
          <w:color w:val="674EA7"/>
        </w:rPr>
      </w:pPr>
      <w:proofErr w:type="spellStart"/>
      <w:r>
        <w:rPr>
          <w:rFonts w:ascii="Merriweather" w:hAnsi="Merriweather"/>
          <w:b/>
          <w:color w:val="674EA7"/>
          <w:sz w:val="26"/>
        </w:rPr>
        <w:t>Actividades</w:t>
      </w:r>
      <w:proofErr w:type="spellEnd"/>
      <w:r>
        <w:rPr>
          <w:rFonts w:ascii="Merriweather" w:hAnsi="Merriweather"/>
          <w:b/>
          <w:color w:val="674EA7"/>
          <w:sz w:val="26"/>
        </w:rPr>
        <w:t xml:space="preserve"> recomendadas para acelerar a </w:t>
      </w:r>
      <w:proofErr w:type="spellStart"/>
      <w:r>
        <w:rPr>
          <w:rFonts w:ascii="Merriweather" w:hAnsi="Merriweather"/>
          <w:b/>
          <w:color w:val="674EA7"/>
          <w:sz w:val="26"/>
        </w:rPr>
        <w:t>acção</w:t>
      </w:r>
      <w:proofErr w:type="spellEnd"/>
      <w:r>
        <w:rPr>
          <w:rFonts w:ascii="Merriweather" w:hAnsi="Merriweather"/>
          <w:b/>
          <w:color w:val="674EA7"/>
          <w:sz w:val="26"/>
        </w:rPr>
        <w:t xml:space="preserve"> em prol da sobrevivência infantil</w:t>
      </w:r>
    </w:p>
    <w:p w14:paraId="368CB474" w14:textId="77777777" w:rsidR="00F01150" w:rsidRDefault="00817E65">
      <w:pPr>
        <w:rPr>
          <w:rFonts w:ascii="Merriweather" w:eastAsia="Merriweather" w:hAnsi="Merriweather" w:cs="Merriweather"/>
        </w:rPr>
      </w:pPr>
      <w:r>
        <w:rPr>
          <w:noProof/>
        </w:rPr>
        <w:drawing>
          <wp:anchor distT="114300" distB="114300" distL="114300" distR="114300" simplePos="0" relativeHeight="251658240" behindDoc="0" locked="0" layoutInCell="1" hidden="0" allowOverlap="1" wp14:anchorId="4A6D6CC5" wp14:editId="62F28E11">
            <wp:simplePos x="0" y="0"/>
            <wp:positionH relativeFrom="column">
              <wp:posOffset>19051</wp:posOffset>
            </wp:positionH>
            <wp:positionV relativeFrom="paragraph">
              <wp:posOffset>239352</wp:posOffset>
            </wp:positionV>
            <wp:extent cx="566738" cy="55875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6738" cy="558755"/>
                    </a:xfrm>
                    <a:prstGeom prst="rect">
                      <a:avLst/>
                    </a:prstGeom>
                    <a:ln/>
                  </pic:spPr>
                </pic:pic>
              </a:graphicData>
            </a:graphic>
          </wp:anchor>
        </w:drawing>
      </w:r>
    </w:p>
    <w:p w14:paraId="4EF3974A" w14:textId="77777777" w:rsidR="00F01150" w:rsidRDefault="00F01150">
      <w:pPr>
        <w:rPr>
          <w:rFonts w:ascii="Merriweather" w:eastAsia="Merriweather" w:hAnsi="Merriweather" w:cs="Merriweather"/>
        </w:rPr>
      </w:pPr>
    </w:p>
    <w:p w14:paraId="71FFC0DB" w14:textId="77777777" w:rsidR="00F01150" w:rsidRDefault="00817E65">
      <w:pPr>
        <w:rPr>
          <w:rFonts w:ascii="Merriweather" w:eastAsia="Merriweather" w:hAnsi="Merriweather" w:cs="Merriweather"/>
          <w:b/>
          <w:sz w:val="24"/>
          <w:szCs w:val="24"/>
        </w:rPr>
      </w:pPr>
      <w:r>
        <w:rPr>
          <w:rFonts w:ascii="Merriweather" w:hAnsi="Merriweather"/>
          <w:b/>
          <w:sz w:val="24"/>
        </w:rPr>
        <w:t xml:space="preserve">Advocacia/envolvimento das partes interessadas </w:t>
      </w:r>
    </w:p>
    <w:p w14:paraId="7B967CA1" w14:textId="77777777" w:rsidR="00F01150" w:rsidRDefault="00F01150">
      <w:pPr>
        <w:spacing w:before="240" w:after="240"/>
        <w:rPr>
          <w:rFonts w:ascii="Merriweather" w:eastAsia="Merriweather" w:hAnsi="Merriweather" w:cs="Merriweather"/>
        </w:rPr>
      </w:pPr>
    </w:p>
    <w:p w14:paraId="57381C0E" w14:textId="77777777" w:rsidR="00F01150" w:rsidRDefault="00817E65">
      <w:pPr>
        <w:spacing w:before="240" w:after="240"/>
        <w:rPr>
          <w:rFonts w:ascii="Merriweather" w:eastAsia="Merriweather" w:hAnsi="Merriweather" w:cs="Merriweather"/>
        </w:rPr>
      </w:pPr>
      <w:r>
        <w:rPr>
          <w:rFonts w:ascii="Merriweather" w:hAnsi="Merriweather"/>
        </w:rPr>
        <w:t xml:space="preserve">Em ambientes com recursos limitados e com prioridades de saúde concorrentes, acelerar a </w:t>
      </w:r>
      <w:proofErr w:type="spellStart"/>
      <w:r>
        <w:rPr>
          <w:rFonts w:ascii="Merriweather" w:hAnsi="Merriweather"/>
        </w:rPr>
        <w:t>acção</w:t>
      </w:r>
      <w:proofErr w:type="spellEnd"/>
      <w:r>
        <w:rPr>
          <w:rFonts w:ascii="Merriweather" w:hAnsi="Merriweather"/>
        </w:rPr>
        <w:t xml:space="preserve"> em prol da sobrevivência infantil nem sempre constitui a maior prioridade. É fundamental identificar e envolver os principais decisores e influenciadores políticos na advocacia da sobrevivência infantil, e criar um ambiente favorável e sustentável para a implementação de programas de saúde infantil eficazes e de qualidade.</w:t>
      </w:r>
    </w:p>
    <w:p w14:paraId="1E9930C3" w14:textId="77777777" w:rsidR="00F01150" w:rsidRDefault="00817E65">
      <w:pPr>
        <w:rPr>
          <w:rFonts w:ascii="Merriweather" w:eastAsia="Merriweather" w:hAnsi="Merriweather" w:cs="Merriweather"/>
          <w:b/>
          <w:color w:val="645DC7"/>
        </w:rPr>
      </w:pPr>
      <w:r>
        <w:rPr>
          <w:rFonts w:ascii="Merriweather" w:hAnsi="Merriweather"/>
          <w:b/>
          <w:color w:val="645DC7"/>
        </w:rPr>
        <w:t xml:space="preserve"> Principais </w:t>
      </w:r>
      <w:proofErr w:type="spellStart"/>
      <w:r>
        <w:rPr>
          <w:rFonts w:ascii="Merriweather" w:hAnsi="Merriweather"/>
          <w:b/>
          <w:color w:val="645DC7"/>
        </w:rPr>
        <w:t>actividades</w:t>
      </w:r>
      <w:proofErr w:type="spellEnd"/>
      <w:r>
        <w:rPr>
          <w:rFonts w:ascii="Merriweather" w:hAnsi="Merriweather"/>
          <w:b/>
          <w:color w:val="645DC7"/>
        </w:rPr>
        <w:t>:</w:t>
      </w:r>
    </w:p>
    <w:p w14:paraId="3F70197E" w14:textId="033FFE48" w:rsidR="00125F2B" w:rsidRPr="00125F2B" w:rsidRDefault="00817E65" w:rsidP="00125F2B">
      <w:pPr>
        <w:numPr>
          <w:ilvl w:val="0"/>
          <w:numId w:val="2"/>
        </w:numPr>
        <w:rPr>
          <w:rFonts w:ascii="Merriweather" w:eastAsia="Merriweather" w:hAnsi="Merriweather" w:cs="Merriweather"/>
        </w:rPr>
      </w:pPr>
      <w:r>
        <w:rPr>
          <w:rFonts w:ascii="Merriweather" w:hAnsi="Merriweather"/>
        </w:rPr>
        <w:t xml:space="preserve">Convocar os responsáveis relevantes do Ministério da Saúde (por exemplo, saúde familiar, saúde materno-infantil, malária, nutrição, cuidados de saúde primários, saúde comunitária, etc.) para debater a necessidade de definir </w:t>
      </w:r>
      <w:proofErr w:type="spellStart"/>
      <w:r>
        <w:rPr>
          <w:rFonts w:ascii="Merriweather" w:hAnsi="Merriweather"/>
        </w:rPr>
        <w:t>acções</w:t>
      </w:r>
      <w:proofErr w:type="spellEnd"/>
      <w:r>
        <w:rPr>
          <w:rFonts w:ascii="Merriweather" w:hAnsi="Merriweather"/>
        </w:rPr>
        <w:t xml:space="preserve"> prioritárias para a sobrevivência infantil</w:t>
      </w:r>
    </w:p>
    <w:p w14:paraId="212C3FF0" w14:textId="424A269C" w:rsidR="00F01150" w:rsidRPr="00125F2B" w:rsidRDefault="00817E65" w:rsidP="00125F2B">
      <w:pPr>
        <w:numPr>
          <w:ilvl w:val="1"/>
          <w:numId w:val="8"/>
        </w:numPr>
        <w:rPr>
          <w:rFonts w:ascii="Merriweather" w:eastAsia="Merriweather" w:hAnsi="Merriweather" w:cs="Merriweather"/>
          <w:highlight w:val="white"/>
        </w:rPr>
      </w:pPr>
      <w:r>
        <w:rPr>
          <w:rFonts w:ascii="Merriweather" w:hAnsi="Merriweather"/>
          <w:highlight w:val="white"/>
        </w:rPr>
        <w:t>Procurar chegar a acordo sobre a necessidade de elaborar um plano/roteiro com prioridades e etapas.</w:t>
      </w:r>
    </w:p>
    <w:p w14:paraId="399D8E90" w14:textId="0E6CEAE7" w:rsidR="00F01150" w:rsidRPr="00125F2B" w:rsidRDefault="00817E65" w:rsidP="00125F2B">
      <w:pPr>
        <w:numPr>
          <w:ilvl w:val="1"/>
          <w:numId w:val="8"/>
        </w:numPr>
        <w:rPr>
          <w:rFonts w:ascii="Merriweather" w:eastAsia="Merriweather" w:hAnsi="Merriweather" w:cs="Merriweather"/>
          <w:highlight w:val="white"/>
        </w:rPr>
      </w:pPr>
      <w:r>
        <w:rPr>
          <w:rFonts w:ascii="Merriweather" w:hAnsi="Merriweather"/>
          <w:highlight w:val="white"/>
        </w:rPr>
        <w:t>Discutir a forma de envolver os mais altos níveis de liderança.</w:t>
      </w:r>
    </w:p>
    <w:p w14:paraId="6C7302E0" w14:textId="037C556C" w:rsidR="00F01150" w:rsidRDefault="00817E65" w:rsidP="00125F2B">
      <w:pPr>
        <w:numPr>
          <w:ilvl w:val="1"/>
          <w:numId w:val="8"/>
        </w:numPr>
        <w:rPr>
          <w:rFonts w:ascii="Merriweather" w:eastAsia="Merriweather" w:hAnsi="Merriweather" w:cs="Merriweather"/>
          <w:highlight w:val="white"/>
        </w:rPr>
      </w:pPr>
      <w:r>
        <w:rPr>
          <w:rFonts w:ascii="Merriweather" w:hAnsi="Merriweather"/>
          <w:highlight w:val="white"/>
        </w:rPr>
        <w:t>Discutir os passos seguintes práticos.</w:t>
      </w:r>
    </w:p>
    <w:p w14:paraId="270DF598" w14:textId="77777777" w:rsidR="00125F2B" w:rsidRPr="00125F2B" w:rsidRDefault="00125F2B" w:rsidP="00125F2B">
      <w:pPr>
        <w:ind w:left="1440"/>
        <w:rPr>
          <w:rFonts w:ascii="Merriweather" w:eastAsia="Merriweather" w:hAnsi="Merriweather" w:cs="Merriweather"/>
          <w:highlight w:val="white"/>
        </w:rPr>
      </w:pPr>
    </w:p>
    <w:p w14:paraId="1342400B" w14:textId="2C7527BF" w:rsidR="00F01150" w:rsidRPr="00125F2B" w:rsidRDefault="00817E65">
      <w:pPr>
        <w:numPr>
          <w:ilvl w:val="0"/>
          <w:numId w:val="2"/>
        </w:numPr>
        <w:rPr>
          <w:rFonts w:ascii="Merriweather" w:eastAsia="Merriweather" w:hAnsi="Merriweather" w:cs="Merriweather"/>
        </w:rPr>
      </w:pPr>
      <w:r>
        <w:rPr>
          <w:rFonts w:ascii="Merriweather" w:hAnsi="Merriweather"/>
          <w:highlight w:val="white"/>
        </w:rPr>
        <w:t xml:space="preserve">Identificar um líder político de alto nível no Ministério da Saúde para liderar a </w:t>
      </w:r>
      <w:proofErr w:type="spellStart"/>
      <w:r>
        <w:rPr>
          <w:rFonts w:ascii="Merriweather" w:hAnsi="Merriweather"/>
          <w:highlight w:val="white"/>
        </w:rPr>
        <w:t>acção</w:t>
      </w:r>
      <w:proofErr w:type="spellEnd"/>
      <w:r>
        <w:rPr>
          <w:rFonts w:ascii="Merriweather" w:hAnsi="Merriweather"/>
          <w:highlight w:val="white"/>
        </w:rPr>
        <w:t xml:space="preserve"> sobre a sobrevivência infantil.</w:t>
      </w:r>
    </w:p>
    <w:p w14:paraId="6F9F926D" w14:textId="77777777" w:rsidR="00F01150" w:rsidRDefault="00F01150">
      <w:pPr>
        <w:rPr>
          <w:rFonts w:ascii="Merriweather" w:eastAsia="Merriweather" w:hAnsi="Merriweather" w:cs="Merriweather"/>
          <w:color w:val="333333"/>
          <w:highlight w:val="white"/>
        </w:rPr>
      </w:pPr>
    </w:p>
    <w:tbl>
      <w:tblPr>
        <w:tblStyle w:val="a"/>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2EDE8028" w14:textId="77777777">
        <w:tc>
          <w:tcPr>
            <w:tcW w:w="8070" w:type="dxa"/>
            <w:shd w:val="clear" w:color="auto" w:fill="D9D2E9"/>
            <w:tcMar>
              <w:top w:w="100" w:type="dxa"/>
              <w:left w:w="100" w:type="dxa"/>
              <w:bottom w:w="100" w:type="dxa"/>
              <w:right w:w="100" w:type="dxa"/>
            </w:tcMar>
          </w:tcPr>
          <w:p w14:paraId="57C154C9" w14:textId="1EC9D8C1" w:rsidR="00F01150" w:rsidRPr="00F2229D" w:rsidRDefault="00000000" w:rsidP="00F2229D">
            <w:pPr>
              <w:numPr>
                <w:ilvl w:val="0"/>
                <w:numId w:val="4"/>
              </w:numPr>
              <w:spacing w:line="259" w:lineRule="auto"/>
              <w:rPr>
                <w:rFonts w:ascii="Merriweather" w:eastAsia="Merriweather" w:hAnsi="Merriweather" w:cs="Merriweather"/>
                <w:b/>
                <w:bCs/>
                <w:sz w:val="16"/>
                <w:szCs w:val="16"/>
              </w:rPr>
            </w:pPr>
            <w:hyperlink r:id="rId9" w:history="1">
              <w:r>
                <w:rPr>
                  <w:rStyle w:val="Hiperligao"/>
                  <w:rFonts w:ascii="Merriweather" w:hAnsi="Merriweather"/>
                  <w:b/>
                  <w:sz w:val="16"/>
                </w:rPr>
                <w:t xml:space="preserve">Exemplo de carta a um líder de opinião sobre a </w:t>
              </w:r>
              <w:proofErr w:type="spellStart"/>
              <w:r>
                <w:rPr>
                  <w:rStyle w:val="Hiperligao"/>
                  <w:rFonts w:ascii="Merriweather" w:hAnsi="Merriweather"/>
                  <w:b/>
                  <w:sz w:val="16"/>
                </w:rPr>
                <w:t>Acção</w:t>
              </w:r>
              <w:proofErr w:type="spellEnd"/>
              <w:r>
                <w:rPr>
                  <w:rStyle w:val="Hiperligao"/>
                  <w:rFonts w:ascii="Merriweather" w:hAnsi="Merriweather"/>
                  <w:b/>
                  <w:sz w:val="16"/>
                </w:rPr>
                <w:t xml:space="preserve"> de Sobrevivência Infantil</w:t>
              </w:r>
            </w:hyperlink>
            <w:r>
              <w:rPr>
                <w:rFonts w:ascii="Merriweather" w:hAnsi="Merriweather"/>
                <w:b/>
                <w:sz w:val="16"/>
              </w:rPr>
              <w:t>.</w:t>
            </w:r>
            <w:r>
              <w:rPr>
                <w:rFonts w:ascii="Merriweather" w:hAnsi="Merriweather"/>
                <w:sz w:val="16"/>
              </w:rPr>
              <w:t xml:space="preserve">  </w:t>
            </w:r>
            <w:proofErr w:type="spellStart"/>
            <w:r>
              <w:rPr>
                <w:rFonts w:ascii="Merriweather" w:hAnsi="Merriweather"/>
                <w:sz w:val="16"/>
              </w:rPr>
              <w:t>Child</w:t>
            </w:r>
            <w:proofErr w:type="spellEnd"/>
            <w:r>
              <w:rPr>
                <w:rFonts w:ascii="Merriweather" w:hAnsi="Merriweather"/>
                <w:sz w:val="16"/>
              </w:rPr>
              <w:t xml:space="preserve"> </w:t>
            </w:r>
            <w:proofErr w:type="spellStart"/>
            <w:r>
              <w:rPr>
                <w:rFonts w:ascii="Merriweather" w:hAnsi="Merriweather"/>
                <w:sz w:val="16"/>
              </w:rPr>
              <w:t>Health</w:t>
            </w:r>
            <w:proofErr w:type="spellEnd"/>
            <w:r>
              <w:rPr>
                <w:rFonts w:ascii="Merriweather" w:hAnsi="Merriweather"/>
                <w:sz w:val="16"/>
              </w:rPr>
              <w:t xml:space="preserve"> </w:t>
            </w:r>
            <w:proofErr w:type="spellStart"/>
            <w:r>
              <w:rPr>
                <w:rFonts w:ascii="Merriweather" w:hAnsi="Merriweather"/>
                <w:sz w:val="16"/>
              </w:rPr>
              <w:t>Task</w:t>
            </w:r>
            <w:proofErr w:type="spellEnd"/>
            <w:r>
              <w:rPr>
                <w:rFonts w:ascii="Merriweather" w:hAnsi="Merriweather"/>
                <w:sz w:val="16"/>
              </w:rPr>
              <w:t xml:space="preserve"> Force (2024).</w:t>
            </w:r>
          </w:p>
        </w:tc>
      </w:tr>
    </w:tbl>
    <w:p w14:paraId="28E74FE8" w14:textId="77777777" w:rsidR="00F01150" w:rsidRDefault="00F01150">
      <w:pPr>
        <w:rPr>
          <w:rFonts w:ascii="Merriweather" w:eastAsia="Merriweather" w:hAnsi="Merriweather" w:cs="Merriweather"/>
          <w:color w:val="333333"/>
          <w:highlight w:val="white"/>
        </w:rPr>
      </w:pPr>
    </w:p>
    <w:p w14:paraId="4CF134CC" w14:textId="53E5B7DF" w:rsidR="00F01150" w:rsidRPr="00125F2B" w:rsidRDefault="00817E65">
      <w:pPr>
        <w:numPr>
          <w:ilvl w:val="0"/>
          <w:numId w:val="2"/>
        </w:numPr>
        <w:rPr>
          <w:rFonts w:ascii="Merriweather" w:eastAsia="Merriweather" w:hAnsi="Merriweather" w:cs="Merriweather"/>
        </w:rPr>
      </w:pPr>
      <w:r>
        <w:rPr>
          <w:rFonts w:ascii="Merriweather" w:hAnsi="Merriweather"/>
          <w:highlight w:val="white"/>
        </w:rPr>
        <w:t xml:space="preserve">Identificar um ponto focal técnico no Ministério da Saúde para liderar a </w:t>
      </w:r>
      <w:proofErr w:type="spellStart"/>
      <w:r>
        <w:rPr>
          <w:rFonts w:ascii="Merriweather" w:hAnsi="Merriweather"/>
          <w:highlight w:val="white"/>
        </w:rPr>
        <w:t>acção</w:t>
      </w:r>
      <w:proofErr w:type="spellEnd"/>
      <w:r>
        <w:rPr>
          <w:rFonts w:ascii="Merriweather" w:hAnsi="Merriweather"/>
          <w:highlight w:val="white"/>
        </w:rPr>
        <w:t xml:space="preserve"> sobre a sobrevivência infantil. </w:t>
      </w:r>
    </w:p>
    <w:p w14:paraId="5C8354D1" w14:textId="77777777" w:rsidR="00F01150" w:rsidRDefault="00F01150">
      <w:pPr>
        <w:rPr>
          <w:rFonts w:ascii="Merriweather" w:eastAsia="Merriweather" w:hAnsi="Merriweather" w:cs="Merriweather"/>
          <w:color w:val="333333"/>
          <w:highlight w:val="white"/>
        </w:rPr>
      </w:pPr>
    </w:p>
    <w:tbl>
      <w:tblPr>
        <w:tblStyle w:val="a0"/>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50229C8F" w14:textId="77777777">
        <w:tc>
          <w:tcPr>
            <w:tcW w:w="8070" w:type="dxa"/>
            <w:shd w:val="clear" w:color="auto" w:fill="D9D2E9"/>
            <w:tcMar>
              <w:top w:w="100" w:type="dxa"/>
              <w:left w:w="100" w:type="dxa"/>
              <w:bottom w:w="100" w:type="dxa"/>
              <w:right w:w="100" w:type="dxa"/>
            </w:tcMar>
          </w:tcPr>
          <w:p w14:paraId="3559C68B" w14:textId="75EB4F68" w:rsidR="00F01150" w:rsidRDefault="00817E65">
            <w:pPr>
              <w:numPr>
                <w:ilvl w:val="0"/>
                <w:numId w:val="4"/>
              </w:numPr>
              <w:spacing w:line="259" w:lineRule="auto"/>
              <w:rPr>
                <w:b/>
                <w:sz w:val="16"/>
                <w:szCs w:val="16"/>
              </w:rPr>
            </w:pPr>
            <w:r>
              <w:rPr>
                <w:rFonts w:ascii="Merriweather" w:hAnsi="Merriweather"/>
                <w:b/>
                <w:sz w:val="16"/>
              </w:rPr>
              <w:t>Modelo de termos de referência para o ponto focal de CSA no país.</w:t>
            </w:r>
            <w:r>
              <w:rPr>
                <w:rFonts w:ascii="Merriweather" w:hAnsi="Merriweather"/>
                <w:sz w:val="16"/>
              </w:rPr>
              <w:t xml:space="preserve"> </w:t>
            </w:r>
            <w:proofErr w:type="spellStart"/>
            <w:r>
              <w:rPr>
                <w:rFonts w:ascii="Merriweather" w:hAnsi="Merriweather"/>
                <w:sz w:val="16"/>
              </w:rPr>
              <w:t>Child</w:t>
            </w:r>
            <w:proofErr w:type="spellEnd"/>
            <w:r>
              <w:rPr>
                <w:rFonts w:ascii="Merriweather" w:hAnsi="Merriweather"/>
                <w:sz w:val="16"/>
              </w:rPr>
              <w:t xml:space="preserve"> </w:t>
            </w:r>
            <w:proofErr w:type="spellStart"/>
            <w:r>
              <w:rPr>
                <w:rFonts w:ascii="Merriweather" w:hAnsi="Merriweather"/>
                <w:sz w:val="16"/>
              </w:rPr>
              <w:t>Health</w:t>
            </w:r>
            <w:proofErr w:type="spellEnd"/>
            <w:r>
              <w:rPr>
                <w:rFonts w:ascii="Merriweather" w:hAnsi="Merriweather"/>
                <w:sz w:val="16"/>
              </w:rPr>
              <w:t xml:space="preserve"> </w:t>
            </w:r>
            <w:proofErr w:type="spellStart"/>
            <w:r>
              <w:rPr>
                <w:rFonts w:ascii="Merriweather" w:hAnsi="Merriweather"/>
                <w:sz w:val="16"/>
              </w:rPr>
              <w:t>Task</w:t>
            </w:r>
            <w:proofErr w:type="spellEnd"/>
            <w:r>
              <w:rPr>
                <w:rFonts w:ascii="Merriweather" w:hAnsi="Merriweather"/>
                <w:sz w:val="16"/>
              </w:rPr>
              <w:t xml:space="preserve"> Force (2024). A a</w:t>
            </w:r>
            <w:r w:rsidR="004D7F62">
              <w:rPr>
                <w:rFonts w:ascii="Merriweather" w:hAnsi="Merriweather"/>
                <w:sz w:val="16"/>
              </w:rPr>
              <w:t>dicion</w:t>
            </w:r>
            <w:r>
              <w:rPr>
                <w:rFonts w:ascii="Merriweather" w:hAnsi="Merriweather"/>
                <w:sz w:val="16"/>
              </w:rPr>
              <w:t>ar em breve.</w:t>
            </w:r>
          </w:p>
        </w:tc>
      </w:tr>
    </w:tbl>
    <w:p w14:paraId="5ADD0086" w14:textId="77777777" w:rsidR="00F01150" w:rsidRDefault="00F01150">
      <w:pPr>
        <w:ind w:left="720"/>
        <w:rPr>
          <w:rFonts w:ascii="Merriweather" w:eastAsia="Merriweather" w:hAnsi="Merriweather" w:cs="Merriweather"/>
          <w:color w:val="333333"/>
          <w:highlight w:val="white"/>
        </w:rPr>
      </w:pPr>
    </w:p>
    <w:p w14:paraId="6B6A0811" w14:textId="2ECBC339" w:rsidR="00F01150" w:rsidRPr="00125F2B" w:rsidRDefault="00817E65">
      <w:pPr>
        <w:numPr>
          <w:ilvl w:val="0"/>
          <w:numId w:val="2"/>
        </w:numPr>
        <w:rPr>
          <w:rFonts w:ascii="Merriweather" w:eastAsia="Merriweather" w:hAnsi="Merriweather" w:cs="Merriweather"/>
        </w:rPr>
      </w:pPr>
      <w:r>
        <w:rPr>
          <w:rFonts w:ascii="Merriweather" w:hAnsi="Merriweather"/>
          <w:highlight w:val="white"/>
        </w:rPr>
        <w:t>Manter um primeiro encontro com o Governo e com os parceiros para apresentar a CSA.</w:t>
      </w:r>
    </w:p>
    <w:p w14:paraId="5DC469E3" w14:textId="77777777" w:rsidR="00F01150" w:rsidRPr="00125F2B" w:rsidRDefault="00F01150">
      <w:pPr>
        <w:ind w:left="720"/>
        <w:rPr>
          <w:rFonts w:ascii="Merriweather" w:eastAsia="Merriweather" w:hAnsi="Merriweather" w:cs="Merriweather"/>
          <w:highlight w:val="white"/>
        </w:rPr>
      </w:pPr>
    </w:p>
    <w:p w14:paraId="531F1117" w14:textId="5302394A" w:rsidR="00F01150" w:rsidRPr="00125F2B" w:rsidRDefault="00817E65" w:rsidP="00125F2B">
      <w:pPr>
        <w:numPr>
          <w:ilvl w:val="1"/>
          <w:numId w:val="9"/>
        </w:numPr>
        <w:rPr>
          <w:rFonts w:ascii="Merriweather" w:eastAsia="Merriweather" w:hAnsi="Merriweather" w:cs="Merriweather"/>
          <w:highlight w:val="white"/>
        </w:rPr>
      </w:pPr>
      <w:r>
        <w:rPr>
          <w:rFonts w:ascii="Merriweather" w:hAnsi="Merriweather"/>
          <w:highlight w:val="white"/>
        </w:rPr>
        <w:t>Convidar todos os programas/departamentos relevantes a participar, especialmente os seguintes: Saúde infantil, gestão da qualidade, malária, nutrição, WASH, CSP/saúde comunitária.</w:t>
      </w:r>
    </w:p>
    <w:p w14:paraId="69DF8136" w14:textId="175CA906" w:rsidR="00F01150" w:rsidRPr="00125F2B" w:rsidRDefault="00817E65" w:rsidP="00125F2B">
      <w:pPr>
        <w:numPr>
          <w:ilvl w:val="1"/>
          <w:numId w:val="9"/>
        </w:numPr>
        <w:rPr>
          <w:rFonts w:ascii="Merriweather" w:eastAsia="Merriweather" w:hAnsi="Merriweather" w:cs="Merriweather"/>
          <w:highlight w:val="white"/>
        </w:rPr>
      </w:pPr>
      <w:r>
        <w:rPr>
          <w:rFonts w:ascii="Merriweather" w:hAnsi="Merriweather"/>
          <w:highlight w:val="white"/>
        </w:rPr>
        <w:t xml:space="preserve">Sugere-se a participação de pontos focais nacionais dos parceiros globais da CSA (GFF, Save </w:t>
      </w:r>
      <w:proofErr w:type="spellStart"/>
      <w:r>
        <w:rPr>
          <w:rFonts w:ascii="Merriweather" w:hAnsi="Merriweather"/>
          <w:highlight w:val="white"/>
        </w:rPr>
        <w:t>the</w:t>
      </w:r>
      <w:proofErr w:type="spellEnd"/>
      <w:r>
        <w:rPr>
          <w:rFonts w:ascii="Merriweather" w:hAnsi="Merriweather"/>
          <w:highlight w:val="white"/>
        </w:rPr>
        <w:t xml:space="preserve"> </w:t>
      </w:r>
      <w:proofErr w:type="spellStart"/>
      <w:r>
        <w:rPr>
          <w:rFonts w:ascii="Merriweather" w:hAnsi="Merriweather"/>
          <w:highlight w:val="white"/>
        </w:rPr>
        <w:t>Children</w:t>
      </w:r>
      <w:proofErr w:type="spellEnd"/>
      <w:r>
        <w:rPr>
          <w:rFonts w:ascii="Merriweather" w:hAnsi="Merriweather"/>
          <w:highlight w:val="white"/>
        </w:rPr>
        <w:t>, USAID, UNICEF, OMS).</w:t>
      </w:r>
    </w:p>
    <w:p w14:paraId="3E6CD700" w14:textId="58CCF630" w:rsidR="00F01150" w:rsidRPr="00125F2B" w:rsidRDefault="00817E65" w:rsidP="00125F2B">
      <w:pPr>
        <w:numPr>
          <w:ilvl w:val="1"/>
          <w:numId w:val="9"/>
        </w:numPr>
        <w:rPr>
          <w:rFonts w:ascii="Merriweather" w:eastAsia="Merriweather" w:hAnsi="Merriweather" w:cs="Merriweather"/>
          <w:highlight w:val="white"/>
        </w:rPr>
      </w:pPr>
      <w:r>
        <w:rPr>
          <w:rFonts w:ascii="Merriweather" w:hAnsi="Merriweather"/>
          <w:highlight w:val="white"/>
        </w:rPr>
        <w:t xml:space="preserve">Se existir/funcionar, o GTT para a Saúde Infantil/Sobrevivência Infantil ou outra plataforma deve ser utilizada para reunir todos os </w:t>
      </w:r>
      <w:proofErr w:type="spellStart"/>
      <w:r>
        <w:rPr>
          <w:rFonts w:ascii="Merriweather" w:hAnsi="Merriweather"/>
          <w:highlight w:val="white"/>
        </w:rPr>
        <w:t>actores</w:t>
      </w:r>
      <w:proofErr w:type="spellEnd"/>
      <w:r>
        <w:rPr>
          <w:rFonts w:ascii="Merriweather" w:hAnsi="Merriweather"/>
          <w:highlight w:val="white"/>
        </w:rPr>
        <w:t xml:space="preserve"> relevantes.</w:t>
      </w:r>
    </w:p>
    <w:p w14:paraId="7080E16E" w14:textId="4A0D7351" w:rsidR="00F01150" w:rsidRPr="00125F2B" w:rsidRDefault="00817E65" w:rsidP="00125F2B">
      <w:pPr>
        <w:numPr>
          <w:ilvl w:val="1"/>
          <w:numId w:val="9"/>
        </w:numPr>
        <w:rPr>
          <w:rFonts w:ascii="Merriweather" w:eastAsia="Merriweather" w:hAnsi="Merriweather" w:cs="Merriweather"/>
          <w:highlight w:val="white"/>
        </w:rPr>
      </w:pPr>
      <w:r>
        <w:rPr>
          <w:rFonts w:ascii="Merriweather" w:hAnsi="Merriweather"/>
          <w:highlight w:val="white"/>
        </w:rPr>
        <w:t>Considerar o alinhamento e as oportunidades com outras iniciativas existentes (por exemplo, ENAP/EPMM, elaboração do Caso de Investimento RMNCAH).</w:t>
      </w:r>
    </w:p>
    <w:p w14:paraId="1B552F46" w14:textId="77777777" w:rsidR="00F01150" w:rsidRDefault="00F01150">
      <w:pPr>
        <w:rPr>
          <w:rFonts w:ascii="Merriweather" w:eastAsia="Merriweather" w:hAnsi="Merriweather" w:cs="Merriweather"/>
          <w:color w:val="333333"/>
          <w:highlight w:val="white"/>
        </w:rPr>
      </w:pPr>
    </w:p>
    <w:tbl>
      <w:tblPr>
        <w:tblStyle w:val="a1"/>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77AF109A" w14:textId="77777777">
        <w:tc>
          <w:tcPr>
            <w:tcW w:w="8070" w:type="dxa"/>
            <w:shd w:val="clear" w:color="auto" w:fill="D9D2E9"/>
            <w:tcMar>
              <w:top w:w="100" w:type="dxa"/>
              <w:left w:w="100" w:type="dxa"/>
              <w:bottom w:w="100" w:type="dxa"/>
              <w:right w:w="100" w:type="dxa"/>
            </w:tcMar>
          </w:tcPr>
          <w:p w14:paraId="52FCB727" w14:textId="78FDEA5E" w:rsidR="00F01150" w:rsidRPr="00F171C5" w:rsidRDefault="00817E65" w:rsidP="00F171C5">
            <w:pPr>
              <w:numPr>
                <w:ilvl w:val="0"/>
                <w:numId w:val="4"/>
              </w:numPr>
              <w:spacing w:line="259" w:lineRule="auto"/>
              <w:rPr>
                <w:b/>
                <w:sz w:val="16"/>
                <w:szCs w:val="16"/>
              </w:rPr>
            </w:pPr>
            <w:r>
              <w:rPr>
                <w:rFonts w:ascii="Merriweather" w:hAnsi="Merriweather"/>
                <w:b/>
                <w:sz w:val="16"/>
              </w:rPr>
              <w:t>Conjunto de diapositivos de introdução da CSA.</w:t>
            </w:r>
            <w:r>
              <w:rPr>
                <w:rFonts w:ascii="Merriweather" w:hAnsi="Merriweather"/>
                <w:sz w:val="16"/>
              </w:rPr>
              <w:t xml:space="preserve"> Grupo de Trabalho sobre Saúde Infantil (2024). A a</w:t>
            </w:r>
            <w:r w:rsidR="004D7F62">
              <w:rPr>
                <w:rFonts w:ascii="Merriweather" w:hAnsi="Merriweather"/>
                <w:sz w:val="16"/>
              </w:rPr>
              <w:t>dicion</w:t>
            </w:r>
            <w:r>
              <w:rPr>
                <w:rFonts w:ascii="Merriweather" w:hAnsi="Merriweather"/>
                <w:sz w:val="16"/>
              </w:rPr>
              <w:t>ar em breve.</w:t>
            </w:r>
          </w:p>
          <w:p w14:paraId="440B388C" w14:textId="1E21A192" w:rsidR="00F01150" w:rsidRDefault="00817E65">
            <w:pPr>
              <w:numPr>
                <w:ilvl w:val="0"/>
                <w:numId w:val="4"/>
              </w:numPr>
              <w:spacing w:line="259" w:lineRule="auto"/>
              <w:rPr>
                <w:b/>
                <w:sz w:val="16"/>
                <w:szCs w:val="16"/>
              </w:rPr>
            </w:pPr>
            <w:r>
              <w:rPr>
                <w:rFonts w:ascii="Merriweather" w:hAnsi="Merriweather"/>
                <w:b/>
                <w:sz w:val="16"/>
              </w:rPr>
              <w:t xml:space="preserve">Modelo de resumo de advocacia nacional da CSA. </w:t>
            </w:r>
            <w:r>
              <w:rPr>
                <w:rFonts w:ascii="Merriweather" w:hAnsi="Merriweather"/>
                <w:sz w:val="16"/>
              </w:rPr>
              <w:t xml:space="preserve">Grupo de Trabalho sobre Saúde Infantil (2024). </w:t>
            </w:r>
            <w:r>
              <w:rPr>
                <w:rFonts w:ascii="Merriweather" w:hAnsi="Merriweather"/>
                <w:b/>
                <w:i/>
                <w:color w:val="FF0000"/>
                <w:sz w:val="16"/>
              </w:rPr>
              <w:t>A a</w:t>
            </w:r>
            <w:r w:rsidR="004D7F62">
              <w:rPr>
                <w:rFonts w:ascii="Merriweather" w:hAnsi="Merriweather"/>
                <w:b/>
                <w:i/>
                <w:color w:val="FF0000"/>
                <w:sz w:val="16"/>
              </w:rPr>
              <w:t>dicion</w:t>
            </w:r>
            <w:r>
              <w:rPr>
                <w:rFonts w:ascii="Merriweather" w:hAnsi="Merriweather"/>
                <w:b/>
                <w:i/>
                <w:color w:val="FF0000"/>
                <w:sz w:val="16"/>
              </w:rPr>
              <w:t>ar em breve.</w:t>
            </w:r>
          </w:p>
          <w:p w14:paraId="7D85237B" w14:textId="031506D1" w:rsidR="00F01150" w:rsidRDefault="00000000">
            <w:pPr>
              <w:numPr>
                <w:ilvl w:val="0"/>
                <w:numId w:val="4"/>
              </w:numPr>
              <w:spacing w:line="259" w:lineRule="auto"/>
              <w:rPr>
                <w:b/>
                <w:sz w:val="16"/>
                <w:szCs w:val="16"/>
              </w:rPr>
            </w:pPr>
            <w:hyperlink r:id="rId10">
              <w:proofErr w:type="spellStart"/>
              <w:r>
                <w:rPr>
                  <w:rFonts w:ascii="Merriweather" w:hAnsi="Merriweather"/>
                  <w:b/>
                  <w:color w:val="0000FF"/>
                  <w:sz w:val="16"/>
                  <w:u w:val="single"/>
                </w:rPr>
                <w:t>Acção</w:t>
              </w:r>
              <w:proofErr w:type="spellEnd"/>
              <w:r>
                <w:rPr>
                  <w:rFonts w:ascii="Merriweather" w:hAnsi="Merriweather"/>
                  <w:b/>
                  <w:color w:val="0000FF"/>
                  <w:sz w:val="16"/>
                  <w:u w:val="single"/>
                </w:rPr>
                <w:t xml:space="preserve"> de Sobrevivência Infantil em duas páginas</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tc>
      </w:tr>
    </w:tbl>
    <w:p w14:paraId="121CEBF1" w14:textId="77777777" w:rsidR="00F01150" w:rsidRPr="00125F2B" w:rsidRDefault="00F01150">
      <w:pPr>
        <w:rPr>
          <w:rFonts w:ascii="Merriweather" w:eastAsia="Merriweather" w:hAnsi="Merriweather" w:cs="Merriweather"/>
          <w:highlight w:val="white"/>
        </w:rPr>
      </w:pPr>
    </w:p>
    <w:p w14:paraId="7A944A19" w14:textId="64E6A64F" w:rsidR="00F01150" w:rsidRPr="00125F2B" w:rsidRDefault="00817E65">
      <w:pPr>
        <w:numPr>
          <w:ilvl w:val="0"/>
          <w:numId w:val="2"/>
        </w:numPr>
        <w:rPr>
          <w:rFonts w:ascii="Merriweather" w:eastAsia="Merriweather" w:hAnsi="Merriweather" w:cs="Merriweather"/>
          <w:highlight w:val="white"/>
        </w:rPr>
      </w:pPr>
      <w:r>
        <w:rPr>
          <w:rFonts w:ascii="Merriweather" w:hAnsi="Merriweather"/>
          <w:highlight w:val="white"/>
        </w:rPr>
        <w:t>Identificar e envolver as partes interessadas nacionais responsáveis pelos programas de saúde infantil existentes.</w:t>
      </w:r>
    </w:p>
    <w:p w14:paraId="25EBA136" w14:textId="77777777" w:rsidR="00F01150" w:rsidRDefault="00F01150">
      <w:pPr>
        <w:rPr>
          <w:rFonts w:ascii="Merriweather" w:eastAsia="Merriweather" w:hAnsi="Merriweather" w:cs="Merriweather"/>
          <w:color w:val="333333"/>
          <w:highlight w:val="white"/>
        </w:rPr>
      </w:pPr>
    </w:p>
    <w:tbl>
      <w:tblPr>
        <w:tblStyle w:val="a2"/>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661F6A0A" w14:textId="77777777">
        <w:tc>
          <w:tcPr>
            <w:tcW w:w="8070" w:type="dxa"/>
            <w:shd w:val="clear" w:color="auto" w:fill="D9D2E9"/>
            <w:tcMar>
              <w:top w:w="100" w:type="dxa"/>
              <w:left w:w="100" w:type="dxa"/>
              <w:bottom w:w="100" w:type="dxa"/>
              <w:right w:w="100" w:type="dxa"/>
            </w:tcMar>
          </w:tcPr>
          <w:p w14:paraId="5B945F78" w14:textId="0E74F53E" w:rsidR="00F01150" w:rsidRDefault="00000000">
            <w:pPr>
              <w:numPr>
                <w:ilvl w:val="0"/>
                <w:numId w:val="4"/>
              </w:numPr>
              <w:spacing w:line="259" w:lineRule="auto"/>
              <w:rPr>
                <w:b/>
                <w:sz w:val="10"/>
                <w:szCs w:val="10"/>
              </w:rPr>
            </w:pPr>
            <w:hyperlink r:id="rId11" w:history="1">
              <w:r>
                <w:rPr>
                  <w:rStyle w:val="Hiperligao"/>
                  <w:rFonts w:ascii="Merriweather" w:hAnsi="Merriweather"/>
                  <w:b/>
                  <w:sz w:val="16"/>
                </w:rPr>
                <w:t>Guia de envolvimento das partes interessadas da CSA</w:t>
              </w:r>
            </w:hyperlink>
            <w:r>
              <w:rPr>
                <w:rFonts w:ascii="Merriweather" w:hAnsi="Merriweather"/>
                <w:b/>
                <w:sz w:val="16"/>
              </w:rPr>
              <w:t>.</w:t>
            </w:r>
            <w:r>
              <w:rPr>
                <w:rFonts w:ascii="Merriweather" w:hAnsi="Merriweather"/>
                <w:sz w:val="16"/>
              </w:rPr>
              <w:t xml:space="preserve">  Grupo de Trabalho sobre Saúde Infantil (2024).</w:t>
            </w:r>
          </w:p>
        </w:tc>
      </w:tr>
    </w:tbl>
    <w:p w14:paraId="5E33ED9A" w14:textId="77777777" w:rsidR="00F01150" w:rsidRPr="00125F2B" w:rsidRDefault="00F01150">
      <w:pPr>
        <w:rPr>
          <w:rFonts w:ascii="Merriweather" w:eastAsia="Merriweather" w:hAnsi="Merriweather" w:cs="Merriweather"/>
          <w:highlight w:val="white"/>
        </w:rPr>
      </w:pPr>
    </w:p>
    <w:p w14:paraId="092F2356" w14:textId="1626BD29" w:rsidR="00F01150" w:rsidRPr="00125F2B" w:rsidRDefault="00817E65">
      <w:pPr>
        <w:numPr>
          <w:ilvl w:val="0"/>
          <w:numId w:val="2"/>
        </w:numPr>
        <w:rPr>
          <w:rFonts w:ascii="Merriweather" w:eastAsia="Merriweather" w:hAnsi="Merriweather" w:cs="Merriweather"/>
          <w:highlight w:val="white"/>
        </w:rPr>
      </w:pPr>
      <w:r>
        <w:rPr>
          <w:rFonts w:ascii="Merriweather" w:hAnsi="Merriweather"/>
          <w:highlight w:val="white"/>
        </w:rPr>
        <w:lastRenderedPageBreak/>
        <w:t>Identificar campeões com um nível de influência elevado e com a capacidade de advogar a favor da sobrevivência infantil.</w:t>
      </w:r>
    </w:p>
    <w:p w14:paraId="706B4D6A" w14:textId="77777777" w:rsidR="00F01150" w:rsidRDefault="00F01150">
      <w:pPr>
        <w:rPr>
          <w:rFonts w:ascii="Merriweather" w:eastAsia="Merriweather" w:hAnsi="Merriweather" w:cs="Merriweather"/>
          <w:color w:val="333333"/>
          <w:highlight w:val="white"/>
        </w:rPr>
      </w:pPr>
    </w:p>
    <w:tbl>
      <w:tblPr>
        <w:tblStyle w:val="a3"/>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2DA3C2EE" w14:textId="77777777">
        <w:tc>
          <w:tcPr>
            <w:tcW w:w="8070" w:type="dxa"/>
            <w:shd w:val="clear" w:color="auto" w:fill="D9D2E9"/>
            <w:tcMar>
              <w:top w:w="100" w:type="dxa"/>
              <w:left w:w="100" w:type="dxa"/>
              <w:bottom w:w="100" w:type="dxa"/>
              <w:right w:w="100" w:type="dxa"/>
            </w:tcMar>
          </w:tcPr>
          <w:p w14:paraId="5F85DE08" w14:textId="1D520E34" w:rsidR="00F01150" w:rsidRDefault="00817E65">
            <w:pPr>
              <w:numPr>
                <w:ilvl w:val="0"/>
                <w:numId w:val="4"/>
              </w:numPr>
              <w:pBdr>
                <w:top w:val="nil"/>
                <w:left w:val="nil"/>
                <w:bottom w:val="nil"/>
                <w:right w:val="nil"/>
                <w:between w:val="nil"/>
              </w:pBdr>
              <w:spacing w:line="259" w:lineRule="auto"/>
              <w:rPr>
                <w:b/>
                <w:sz w:val="16"/>
                <w:szCs w:val="16"/>
              </w:rPr>
            </w:pPr>
            <w:r>
              <w:rPr>
                <w:rFonts w:ascii="Merriweather" w:hAnsi="Merriweather"/>
                <w:b/>
                <w:sz w:val="16"/>
              </w:rPr>
              <w:t xml:space="preserve">Ferramenta de mapeamento de campeões da CSA. </w:t>
            </w:r>
            <w:r>
              <w:rPr>
                <w:rFonts w:ascii="Merriweather" w:hAnsi="Merriweather"/>
                <w:sz w:val="16"/>
              </w:rPr>
              <w:t xml:space="preserve">Grupo de Trabalho sobre Saúde Infantil (2024). </w:t>
            </w:r>
            <w:r>
              <w:rPr>
                <w:rFonts w:ascii="Merriweather" w:hAnsi="Merriweather"/>
                <w:b/>
                <w:i/>
                <w:color w:val="FF0000"/>
                <w:sz w:val="16"/>
              </w:rPr>
              <w:t>A a</w:t>
            </w:r>
            <w:r w:rsidR="004D7F62">
              <w:rPr>
                <w:rFonts w:ascii="Merriweather" w:hAnsi="Merriweather"/>
                <w:b/>
                <w:i/>
                <w:color w:val="FF0000"/>
                <w:sz w:val="16"/>
              </w:rPr>
              <w:t>dicion</w:t>
            </w:r>
            <w:r>
              <w:rPr>
                <w:rFonts w:ascii="Merriweather" w:hAnsi="Merriweather"/>
                <w:b/>
                <w:i/>
                <w:color w:val="FF0000"/>
                <w:sz w:val="16"/>
              </w:rPr>
              <w:t>ar em breve.</w:t>
            </w:r>
          </w:p>
        </w:tc>
      </w:tr>
    </w:tbl>
    <w:p w14:paraId="7E79FF1F" w14:textId="77777777" w:rsidR="00F01150" w:rsidRPr="00125F2B" w:rsidRDefault="00F01150">
      <w:pPr>
        <w:rPr>
          <w:rFonts w:ascii="Merriweather" w:eastAsia="Merriweather" w:hAnsi="Merriweather" w:cs="Merriweather"/>
          <w:highlight w:val="white"/>
        </w:rPr>
      </w:pPr>
    </w:p>
    <w:p w14:paraId="293D4039" w14:textId="6733999C" w:rsidR="00F01150" w:rsidRPr="00125F2B" w:rsidRDefault="00817E65">
      <w:pPr>
        <w:numPr>
          <w:ilvl w:val="0"/>
          <w:numId w:val="2"/>
        </w:numPr>
        <w:rPr>
          <w:rFonts w:ascii="Merriweather" w:eastAsia="Merriweather" w:hAnsi="Merriweather" w:cs="Merriweather"/>
          <w:highlight w:val="white"/>
        </w:rPr>
      </w:pPr>
      <w:r>
        <w:rPr>
          <w:rFonts w:ascii="Merriweather" w:hAnsi="Merriweather"/>
          <w:highlight w:val="white"/>
        </w:rPr>
        <w:t xml:space="preserve">Reforçar ou criar um grupo de trabalho técnico </w:t>
      </w:r>
      <w:proofErr w:type="spellStart"/>
      <w:r>
        <w:rPr>
          <w:rFonts w:ascii="Merriweather" w:hAnsi="Merriweather"/>
          <w:highlight w:val="white"/>
        </w:rPr>
        <w:t>multi-sectorial</w:t>
      </w:r>
      <w:proofErr w:type="spellEnd"/>
      <w:r>
        <w:rPr>
          <w:rFonts w:ascii="Merriweather" w:hAnsi="Merriweather"/>
          <w:highlight w:val="white"/>
        </w:rPr>
        <w:t>, liderado pelo governo, para coordenar e aconselhar sobre os esforços relativos à sobrevivência infantil.</w:t>
      </w:r>
    </w:p>
    <w:p w14:paraId="2DD59D34" w14:textId="77777777" w:rsidR="00F01150" w:rsidRDefault="00F01150">
      <w:pPr>
        <w:rPr>
          <w:rFonts w:ascii="Merriweather" w:eastAsia="Merriweather" w:hAnsi="Merriweather" w:cs="Merriweather"/>
          <w:color w:val="333333"/>
          <w:highlight w:val="white"/>
        </w:rPr>
      </w:pPr>
    </w:p>
    <w:tbl>
      <w:tblPr>
        <w:tblStyle w:val="a4"/>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568D9182" w14:textId="77777777">
        <w:tc>
          <w:tcPr>
            <w:tcW w:w="8070" w:type="dxa"/>
            <w:shd w:val="clear" w:color="auto" w:fill="D9D2E9"/>
            <w:tcMar>
              <w:top w:w="100" w:type="dxa"/>
              <w:left w:w="100" w:type="dxa"/>
              <w:bottom w:w="100" w:type="dxa"/>
              <w:right w:w="100" w:type="dxa"/>
            </w:tcMar>
          </w:tcPr>
          <w:p w14:paraId="76FCAD34" w14:textId="6401FC5D" w:rsidR="00F01150" w:rsidRDefault="00000000">
            <w:pPr>
              <w:numPr>
                <w:ilvl w:val="0"/>
                <w:numId w:val="4"/>
              </w:numPr>
              <w:pBdr>
                <w:top w:val="nil"/>
                <w:left w:val="nil"/>
                <w:bottom w:val="nil"/>
                <w:right w:val="nil"/>
                <w:between w:val="nil"/>
              </w:pBdr>
              <w:spacing w:line="259" w:lineRule="auto"/>
              <w:rPr>
                <w:b/>
                <w:sz w:val="16"/>
                <w:szCs w:val="16"/>
              </w:rPr>
            </w:pPr>
            <w:hyperlink r:id="rId12" w:tgtFrame="_blank" w:history="1">
              <w:r>
                <w:rPr>
                  <w:rStyle w:val="Hiperligao"/>
                  <w:rFonts w:ascii="Merriweather" w:hAnsi="Merriweather"/>
                  <w:b/>
                  <w:sz w:val="16"/>
                </w:rPr>
                <w:t>Exemplo de Termos de Referência para o Grupo de Trabalho Técnico sobre Sobrevivência Infantil</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tc>
      </w:tr>
    </w:tbl>
    <w:p w14:paraId="10141E8B" w14:textId="77777777" w:rsidR="00F01150" w:rsidRDefault="00F01150">
      <w:pPr>
        <w:rPr>
          <w:rFonts w:ascii="Merriweather" w:eastAsia="Merriweather" w:hAnsi="Merriweather" w:cs="Merriweather"/>
          <w:color w:val="333333"/>
          <w:highlight w:val="white"/>
        </w:rPr>
      </w:pPr>
    </w:p>
    <w:p w14:paraId="6EE466B4" w14:textId="77777777" w:rsidR="00F01150" w:rsidRPr="00125F2B" w:rsidRDefault="00817E65">
      <w:pPr>
        <w:numPr>
          <w:ilvl w:val="0"/>
          <w:numId w:val="2"/>
        </w:numPr>
        <w:rPr>
          <w:rFonts w:ascii="Merriweather" w:eastAsia="Merriweather" w:hAnsi="Merriweather" w:cs="Merriweather"/>
          <w:highlight w:val="white"/>
        </w:rPr>
      </w:pPr>
      <w:r>
        <w:rPr>
          <w:rFonts w:ascii="Merriweather" w:hAnsi="Merriweather"/>
          <w:highlight w:val="white"/>
        </w:rPr>
        <w:t xml:space="preserve">Desenvolver um plano de envolvimento dos meios de comunicação social que identifique os parceiros dos meios de comunicação social, o público-alvo, as mensagens-chave e os canais dos meios de comunicação social para realizar as </w:t>
      </w:r>
      <w:proofErr w:type="spellStart"/>
      <w:r>
        <w:rPr>
          <w:rFonts w:ascii="Merriweather" w:hAnsi="Merriweather"/>
          <w:highlight w:val="white"/>
        </w:rPr>
        <w:t>actividades</w:t>
      </w:r>
      <w:proofErr w:type="spellEnd"/>
      <w:r>
        <w:rPr>
          <w:rFonts w:ascii="Merriweather" w:hAnsi="Merriweather"/>
          <w:highlight w:val="white"/>
        </w:rPr>
        <w:t xml:space="preserve"> de advocacia.</w:t>
      </w:r>
    </w:p>
    <w:p w14:paraId="4B44E7AC" w14:textId="77777777" w:rsidR="00F01150" w:rsidRDefault="00F01150">
      <w:pPr>
        <w:rPr>
          <w:rFonts w:ascii="Merriweather" w:eastAsia="Merriweather" w:hAnsi="Merriweather" w:cs="Merriweather"/>
          <w:color w:val="333333"/>
          <w:highlight w:val="white"/>
        </w:rPr>
      </w:pPr>
    </w:p>
    <w:tbl>
      <w:tblPr>
        <w:tblStyle w:val="a5"/>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6E165AB" w14:textId="77777777">
        <w:tc>
          <w:tcPr>
            <w:tcW w:w="8070" w:type="dxa"/>
            <w:shd w:val="clear" w:color="auto" w:fill="D9D2E9"/>
            <w:tcMar>
              <w:top w:w="100" w:type="dxa"/>
              <w:left w:w="100" w:type="dxa"/>
              <w:bottom w:w="100" w:type="dxa"/>
              <w:right w:w="100" w:type="dxa"/>
            </w:tcMar>
          </w:tcPr>
          <w:p w14:paraId="2D789B0F" w14:textId="1D352702" w:rsidR="00F01150" w:rsidRDefault="00000000">
            <w:pPr>
              <w:numPr>
                <w:ilvl w:val="0"/>
                <w:numId w:val="4"/>
              </w:numPr>
              <w:pBdr>
                <w:top w:val="nil"/>
                <w:left w:val="nil"/>
                <w:bottom w:val="nil"/>
                <w:right w:val="nil"/>
                <w:between w:val="nil"/>
              </w:pBdr>
              <w:spacing w:line="259" w:lineRule="auto"/>
              <w:rPr>
                <w:b/>
                <w:sz w:val="16"/>
                <w:szCs w:val="16"/>
              </w:rPr>
            </w:pPr>
            <w:hyperlink r:id="rId13" w:history="1">
              <w:r>
                <w:rPr>
                  <w:rStyle w:val="Hiperligao"/>
                  <w:rFonts w:ascii="Merriweather" w:hAnsi="Merriweather"/>
                  <w:b/>
                  <w:sz w:val="16"/>
                </w:rPr>
                <w:t xml:space="preserve">Guia de advocacia sobre a CSA para os meios de comunicação social </w:t>
              </w:r>
            </w:hyperlink>
            <w:r>
              <w:rPr>
                <w:rFonts w:ascii="Merriweather" w:hAnsi="Merriweather"/>
                <w:b/>
                <w:sz w:val="16"/>
              </w:rPr>
              <w:t>.</w:t>
            </w:r>
            <w:r>
              <w:rPr>
                <w:rFonts w:ascii="Merriweather" w:hAnsi="Merriweather"/>
                <w:sz w:val="16"/>
              </w:rPr>
              <w:t xml:space="preserve">  Grupo de Trabalho sobre Saúde Infantil (2024).</w:t>
            </w:r>
          </w:p>
        </w:tc>
      </w:tr>
    </w:tbl>
    <w:p w14:paraId="10061516" w14:textId="77777777" w:rsidR="00F01150" w:rsidRDefault="00F01150">
      <w:pPr>
        <w:rPr>
          <w:rFonts w:ascii="Merriweather" w:eastAsia="Merriweather" w:hAnsi="Merriweather" w:cs="Merriweather"/>
          <w:color w:val="333333"/>
          <w:highlight w:val="white"/>
        </w:rPr>
      </w:pPr>
    </w:p>
    <w:p w14:paraId="546396CD" w14:textId="4198D159" w:rsidR="00F01150" w:rsidRPr="00125F2B" w:rsidRDefault="00817E65">
      <w:pPr>
        <w:numPr>
          <w:ilvl w:val="0"/>
          <w:numId w:val="2"/>
        </w:numPr>
        <w:rPr>
          <w:rFonts w:ascii="Merriweather" w:eastAsia="Merriweather" w:hAnsi="Merriweather" w:cs="Merriweather"/>
          <w:highlight w:val="white"/>
        </w:rPr>
      </w:pPr>
      <w:r>
        <w:rPr>
          <w:rFonts w:ascii="Merriweather" w:hAnsi="Merriweather"/>
          <w:highlight w:val="white"/>
        </w:rPr>
        <w:t>Determinar a melhor forma de envolver/reforçar o sector privado para a prestação de serviços de saúde infantil.</w:t>
      </w:r>
    </w:p>
    <w:p w14:paraId="0B9D1DF4" w14:textId="77777777" w:rsidR="00F01150" w:rsidRDefault="00F01150">
      <w:pPr>
        <w:rPr>
          <w:rFonts w:ascii="Merriweather" w:eastAsia="Merriweather" w:hAnsi="Merriweather" w:cs="Merriweather"/>
          <w:color w:val="333333"/>
          <w:highlight w:val="white"/>
        </w:rPr>
      </w:pPr>
    </w:p>
    <w:tbl>
      <w:tblPr>
        <w:tblStyle w:val="a6"/>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AF0B3CA" w14:textId="77777777">
        <w:tc>
          <w:tcPr>
            <w:tcW w:w="8070" w:type="dxa"/>
            <w:shd w:val="clear" w:color="auto" w:fill="D9D2E9"/>
            <w:tcMar>
              <w:top w:w="100" w:type="dxa"/>
              <w:left w:w="100" w:type="dxa"/>
              <w:bottom w:w="100" w:type="dxa"/>
              <w:right w:w="100" w:type="dxa"/>
            </w:tcMar>
          </w:tcPr>
          <w:p w14:paraId="2592C733" w14:textId="77777777" w:rsidR="00F01150" w:rsidRDefault="00000000">
            <w:pPr>
              <w:numPr>
                <w:ilvl w:val="0"/>
                <w:numId w:val="4"/>
              </w:numPr>
              <w:pBdr>
                <w:top w:val="nil"/>
                <w:left w:val="nil"/>
                <w:bottom w:val="nil"/>
                <w:right w:val="nil"/>
                <w:between w:val="nil"/>
              </w:pBdr>
              <w:spacing w:line="259" w:lineRule="auto"/>
              <w:rPr>
                <w:sz w:val="16"/>
                <w:szCs w:val="16"/>
              </w:rPr>
            </w:pPr>
            <w:hyperlink r:id="rId14">
              <w:r>
                <w:rPr>
                  <w:rFonts w:ascii="Merriweather" w:hAnsi="Merriweather"/>
                  <w:b/>
                  <w:color w:val="0000FF"/>
                  <w:sz w:val="16"/>
                  <w:u w:val="single"/>
                </w:rPr>
                <w:t>Envolver o sector privado na prestação de serviços de saúde materna, neonatal e infantil de qualidade: um manual passo-a-passo para orientar a análise e o diálogo sobre políticas</w:t>
              </w:r>
            </w:hyperlink>
            <w:r>
              <w:rPr>
                <w:rFonts w:ascii="Merriweather" w:hAnsi="Merriweather"/>
                <w:b/>
                <w:color w:val="0000FF"/>
                <w:sz w:val="16"/>
                <w:u w:val="single"/>
              </w:rPr>
              <w:t>.</w:t>
            </w:r>
            <w:r>
              <w:rPr>
                <w:rFonts w:ascii="Merriweather" w:hAnsi="Merriweather"/>
                <w:sz w:val="16"/>
              </w:rPr>
              <w:t xml:space="preserve">  Organização Mundial da Saúde (2024).</w:t>
            </w:r>
          </w:p>
        </w:tc>
      </w:tr>
    </w:tbl>
    <w:p w14:paraId="4F2E1211" w14:textId="77777777" w:rsidR="00F01150" w:rsidRDefault="00F01150">
      <w:pPr>
        <w:rPr>
          <w:rFonts w:ascii="Merriweather" w:eastAsia="Merriweather" w:hAnsi="Merriweather" w:cs="Merriweather"/>
          <w:color w:val="333333"/>
          <w:highlight w:val="white"/>
        </w:rPr>
      </w:pPr>
    </w:p>
    <w:p w14:paraId="177BE41E" w14:textId="77777777" w:rsidR="00125F2B" w:rsidRDefault="00125F2B">
      <w:pPr>
        <w:rPr>
          <w:rFonts w:ascii="Merriweather" w:eastAsia="Merriweather" w:hAnsi="Merriweather" w:cs="Merriweather"/>
          <w:color w:val="333333"/>
          <w:highlight w:val="white"/>
        </w:rPr>
      </w:pPr>
    </w:p>
    <w:p w14:paraId="3577ED2B" w14:textId="06EB192F" w:rsidR="00F01150" w:rsidRPr="00125F2B" w:rsidRDefault="00817E65">
      <w:pPr>
        <w:numPr>
          <w:ilvl w:val="0"/>
          <w:numId w:val="2"/>
        </w:numPr>
        <w:rPr>
          <w:rFonts w:ascii="Merriweather" w:eastAsia="Merriweather" w:hAnsi="Merriweather" w:cs="Merriweather"/>
          <w:highlight w:val="white"/>
        </w:rPr>
      </w:pPr>
      <w:r>
        <w:rPr>
          <w:rFonts w:ascii="Merriweather" w:hAnsi="Merriweather"/>
          <w:highlight w:val="white"/>
        </w:rPr>
        <w:t>Advogar junto do Ministério das Finanças, das organizações doadoras e dos parceiros de implementação a favor do aumento do financiamento dos programas de saúde infantil.</w:t>
      </w:r>
    </w:p>
    <w:p w14:paraId="54D2600A" w14:textId="77777777" w:rsidR="00F01150" w:rsidRDefault="00F01150">
      <w:pPr>
        <w:rPr>
          <w:rFonts w:ascii="Merriweather" w:eastAsia="Merriweather" w:hAnsi="Merriweather" w:cs="Merriweather"/>
          <w:color w:val="333333"/>
          <w:highlight w:val="white"/>
        </w:rPr>
      </w:pPr>
    </w:p>
    <w:tbl>
      <w:tblPr>
        <w:tblStyle w:val="a7"/>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1B0023FA" w14:textId="77777777">
        <w:tc>
          <w:tcPr>
            <w:tcW w:w="8070" w:type="dxa"/>
            <w:shd w:val="clear" w:color="auto" w:fill="D9D2E9"/>
            <w:tcMar>
              <w:top w:w="100" w:type="dxa"/>
              <w:left w:w="100" w:type="dxa"/>
              <w:bottom w:w="100" w:type="dxa"/>
              <w:right w:w="100" w:type="dxa"/>
            </w:tcMar>
          </w:tcPr>
          <w:p w14:paraId="25BB3C2C" w14:textId="05E52197" w:rsidR="00F01150" w:rsidRDefault="00000000">
            <w:pPr>
              <w:numPr>
                <w:ilvl w:val="0"/>
                <w:numId w:val="4"/>
              </w:numPr>
              <w:spacing w:line="259" w:lineRule="auto"/>
              <w:rPr>
                <w:b/>
                <w:sz w:val="16"/>
                <w:szCs w:val="16"/>
              </w:rPr>
            </w:pPr>
            <w:hyperlink r:id="rId15" w:history="1">
              <w:r>
                <w:rPr>
                  <w:rStyle w:val="Hiperligao"/>
                  <w:rFonts w:ascii="Merriweather" w:hAnsi="Merriweather"/>
                  <w:b/>
                  <w:sz w:val="16"/>
                </w:rPr>
                <w:t>Guia de defesa do orçamento da CSA</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tc>
      </w:tr>
    </w:tbl>
    <w:p w14:paraId="6F70E5F0" w14:textId="77777777" w:rsidR="00F01150" w:rsidRDefault="00F01150">
      <w:pPr>
        <w:rPr>
          <w:rFonts w:ascii="Merriweather" w:eastAsia="Merriweather" w:hAnsi="Merriweather" w:cs="Merriweather"/>
          <w:color w:val="333333"/>
          <w:highlight w:val="white"/>
        </w:rPr>
      </w:pPr>
    </w:p>
    <w:p w14:paraId="59322A43" w14:textId="77777777" w:rsidR="00F01150" w:rsidRDefault="00817E65">
      <w:pPr>
        <w:rPr>
          <w:rFonts w:ascii="Merriweather" w:eastAsia="Merriweather" w:hAnsi="Merriweather" w:cs="Merriweather"/>
        </w:rPr>
      </w:pPr>
      <w:r>
        <w:t xml:space="preserve">Para obter recursos e ferramentas adicionais para apoiar as </w:t>
      </w:r>
      <w:proofErr w:type="spellStart"/>
      <w:r>
        <w:t>actividades</w:t>
      </w:r>
      <w:proofErr w:type="spellEnd"/>
      <w:r>
        <w:t xml:space="preserve"> de advocacia/envolvimento das partes interessadas, consulte a secção</w:t>
      </w:r>
      <w:r>
        <w:rPr>
          <w:rFonts w:ascii="Merriweather" w:hAnsi="Merriweather"/>
        </w:rPr>
        <w:t xml:space="preserve"> </w:t>
      </w:r>
      <w:hyperlink r:id="rId16">
        <w:r>
          <w:rPr>
            <w:rFonts w:ascii="Merriweather" w:hAnsi="Merriweather"/>
            <w:color w:val="1155CC"/>
            <w:u w:val="single"/>
          </w:rPr>
          <w:t>Kit de Ferramentas da CSA para Advocacia/Envolvimento das partes interessadas</w:t>
        </w:r>
      </w:hyperlink>
      <w:r>
        <w:rPr>
          <w:rFonts w:ascii="Merriweather" w:hAnsi="Merriweather"/>
        </w:rPr>
        <w:t>.</w:t>
      </w:r>
    </w:p>
    <w:p w14:paraId="748C32C4" w14:textId="77777777" w:rsidR="00F01150" w:rsidRDefault="00817E65">
      <w:pPr>
        <w:rPr>
          <w:rFonts w:ascii="Merriweather" w:eastAsia="Merriweather" w:hAnsi="Merriweather" w:cs="Merriweather"/>
        </w:rPr>
      </w:pPr>
      <w:r>
        <w:rPr>
          <w:noProof/>
        </w:rPr>
        <w:lastRenderedPageBreak/>
        <w:drawing>
          <wp:anchor distT="114300" distB="114300" distL="114300" distR="114300" simplePos="0" relativeHeight="251659264" behindDoc="0" locked="0" layoutInCell="1" hidden="0" allowOverlap="1" wp14:anchorId="0E410D7A" wp14:editId="70AEB8FD">
            <wp:simplePos x="0" y="0"/>
            <wp:positionH relativeFrom="column">
              <wp:posOffset>19051</wp:posOffset>
            </wp:positionH>
            <wp:positionV relativeFrom="paragraph">
              <wp:posOffset>220993</wp:posOffset>
            </wp:positionV>
            <wp:extent cx="566928" cy="519684"/>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6928" cy="519684"/>
                    </a:xfrm>
                    <a:prstGeom prst="rect">
                      <a:avLst/>
                    </a:prstGeom>
                    <a:ln/>
                  </pic:spPr>
                </pic:pic>
              </a:graphicData>
            </a:graphic>
          </wp:anchor>
        </w:drawing>
      </w:r>
    </w:p>
    <w:p w14:paraId="41846EA8" w14:textId="77777777" w:rsidR="00F01150" w:rsidRDefault="00F01150">
      <w:pPr>
        <w:rPr>
          <w:rFonts w:ascii="Merriweather" w:eastAsia="Merriweather" w:hAnsi="Merriweather" w:cs="Merriweather"/>
          <w:b/>
          <w:sz w:val="24"/>
          <w:szCs w:val="24"/>
        </w:rPr>
      </w:pPr>
    </w:p>
    <w:p w14:paraId="1095FAC7" w14:textId="77777777" w:rsidR="00F01150" w:rsidRDefault="00817E65">
      <w:pPr>
        <w:rPr>
          <w:rFonts w:ascii="Merriweather" w:eastAsia="Merriweather" w:hAnsi="Merriweather" w:cs="Merriweather"/>
          <w:b/>
          <w:sz w:val="24"/>
          <w:szCs w:val="24"/>
        </w:rPr>
      </w:pPr>
      <w:r>
        <w:rPr>
          <w:rFonts w:ascii="Merriweather" w:hAnsi="Merriweather"/>
          <w:b/>
          <w:sz w:val="24"/>
        </w:rPr>
        <w:t>Revisão e Análise</w:t>
      </w:r>
    </w:p>
    <w:p w14:paraId="64C24C4E" w14:textId="77777777" w:rsidR="00F01150" w:rsidRPr="00125F2B" w:rsidRDefault="00F01150">
      <w:pPr>
        <w:shd w:val="clear" w:color="auto" w:fill="FFFFFF"/>
        <w:spacing w:after="300"/>
        <w:rPr>
          <w:rFonts w:ascii="Merriweather" w:eastAsia="Merriweather" w:hAnsi="Merriweather" w:cs="Merriweather"/>
        </w:rPr>
      </w:pPr>
    </w:p>
    <w:p w14:paraId="0CF62607" w14:textId="77777777" w:rsidR="00F01150" w:rsidRPr="00125F2B" w:rsidRDefault="00817E65">
      <w:pPr>
        <w:shd w:val="clear" w:color="auto" w:fill="FFFFFF"/>
        <w:spacing w:after="300"/>
        <w:rPr>
          <w:rFonts w:ascii="Merriweather" w:eastAsia="Merriweather" w:hAnsi="Merriweather" w:cs="Merriweather"/>
        </w:rPr>
      </w:pPr>
      <w:r>
        <w:rPr>
          <w:rFonts w:ascii="Merriweather" w:hAnsi="Merriweather"/>
        </w:rPr>
        <w:t xml:space="preserve">Analisar a situação da saúde infantil num país e avaliar o estado do sistema de saúde na prestação de cuidados de qualidade são alguns dos primeiros passos críticos para a elaboração de um plano de </w:t>
      </w:r>
      <w:proofErr w:type="spellStart"/>
      <w:r>
        <w:rPr>
          <w:rFonts w:ascii="Merriweather" w:hAnsi="Merriweather"/>
        </w:rPr>
        <w:t>acção</w:t>
      </w:r>
      <w:proofErr w:type="spellEnd"/>
      <w:r>
        <w:rPr>
          <w:rFonts w:ascii="Merriweather" w:hAnsi="Merriweather"/>
        </w:rPr>
        <w:t xml:space="preserve"> eficaz. Uma análise exaustiva da situação dos serviços de saúde infantil pode permitir uma avaliação realista dos pontos fortes e dos desafios na prestação de serviços de qualidade. O processo envolve a análise de fontes de dados novas e existentes que proporcionam uma boa compreensão da situação de um país em relação à saúde infantil e da sua capacidade de colmatar as lacunas existentes. A identificação de eventuais barreiras que estejam a impedir intervenções e a prestação de serviços de saúde infantil de qualidade pode ajudar os países a definir prioridades e a implementar </w:t>
      </w:r>
      <w:proofErr w:type="spellStart"/>
      <w:r>
        <w:rPr>
          <w:rFonts w:ascii="Merriweather" w:hAnsi="Merriweather"/>
        </w:rPr>
        <w:t>acções</w:t>
      </w:r>
      <w:proofErr w:type="spellEnd"/>
      <w:r>
        <w:rPr>
          <w:rFonts w:ascii="Merriweather" w:hAnsi="Merriweather"/>
        </w:rPr>
        <w:t xml:space="preserve"> específicas visando acelerar o progresso.</w:t>
      </w:r>
    </w:p>
    <w:p w14:paraId="5A1D9E47" w14:textId="77777777" w:rsidR="00F01150" w:rsidRDefault="00817E65">
      <w:pPr>
        <w:pBdr>
          <w:top w:val="nil"/>
          <w:left w:val="nil"/>
          <w:bottom w:val="nil"/>
          <w:right w:val="nil"/>
          <w:between w:val="nil"/>
        </w:pBdr>
        <w:rPr>
          <w:rFonts w:ascii="Merriweather" w:eastAsia="Merriweather" w:hAnsi="Merriweather" w:cs="Merriweather"/>
          <w:b/>
        </w:rPr>
      </w:pPr>
      <w:r>
        <w:rPr>
          <w:rFonts w:ascii="Merriweather" w:hAnsi="Merriweather"/>
          <w:b/>
          <w:color w:val="645DC7"/>
        </w:rPr>
        <w:t xml:space="preserve">Principais </w:t>
      </w:r>
      <w:proofErr w:type="spellStart"/>
      <w:r>
        <w:rPr>
          <w:rFonts w:ascii="Merriweather" w:hAnsi="Merriweather"/>
          <w:b/>
          <w:color w:val="645DC7"/>
        </w:rPr>
        <w:t>actividades</w:t>
      </w:r>
      <w:proofErr w:type="spellEnd"/>
      <w:r>
        <w:rPr>
          <w:rFonts w:ascii="Merriweather" w:hAnsi="Merriweather"/>
          <w:b/>
          <w:color w:val="645DC7"/>
        </w:rPr>
        <w:t xml:space="preserve">: </w:t>
      </w:r>
    </w:p>
    <w:p w14:paraId="3D4DEB6D" w14:textId="408350C4" w:rsidR="00F01150" w:rsidRPr="00125F2B" w:rsidRDefault="00817E65" w:rsidP="00125F2B">
      <w:pPr>
        <w:numPr>
          <w:ilvl w:val="0"/>
          <w:numId w:val="10"/>
        </w:numPr>
        <w:rPr>
          <w:rFonts w:ascii="Merriweather" w:eastAsia="Merriweather" w:hAnsi="Merriweather" w:cs="Merriweather"/>
        </w:rPr>
      </w:pPr>
      <w:r>
        <w:rPr>
          <w:rFonts w:ascii="Merriweather" w:hAnsi="Merriweather"/>
        </w:rPr>
        <w:t xml:space="preserve">Chegar a acordo sobre o processo de elaboração do plano de </w:t>
      </w:r>
      <w:proofErr w:type="spellStart"/>
      <w:r>
        <w:rPr>
          <w:rFonts w:ascii="Merriweather" w:hAnsi="Merriweather"/>
        </w:rPr>
        <w:t>Acção</w:t>
      </w:r>
      <w:proofErr w:type="spellEnd"/>
      <w:r>
        <w:rPr>
          <w:rFonts w:ascii="Merriweather" w:hAnsi="Merriweather"/>
        </w:rPr>
        <w:t xml:space="preserve"> de Sobrevivência Infantil. Pode tratar-se de um plano de </w:t>
      </w:r>
      <w:proofErr w:type="spellStart"/>
      <w:r>
        <w:rPr>
          <w:rFonts w:ascii="Merriweather" w:hAnsi="Merriweather"/>
        </w:rPr>
        <w:t>acção</w:t>
      </w:r>
      <w:proofErr w:type="spellEnd"/>
      <w:r>
        <w:rPr>
          <w:rFonts w:ascii="Merriweather" w:hAnsi="Merriweather"/>
        </w:rPr>
        <w:t xml:space="preserve"> autónomo ou pode haver a oportunidade de integrar/reforçar as prioridades no âmbito de um plano mais vasto da RMNCAH.</w:t>
      </w:r>
    </w:p>
    <w:p w14:paraId="714D8212" w14:textId="1E6FB960" w:rsidR="00F01150" w:rsidRPr="00125F2B" w:rsidRDefault="00817E65" w:rsidP="00125F2B">
      <w:pPr>
        <w:numPr>
          <w:ilvl w:val="1"/>
          <w:numId w:val="11"/>
        </w:numPr>
        <w:rPr>
          <w:rFonts w:ascii="Merriweather" w:eastAsia="Merriweather" w:hAnsi="Merriweather" w:cs="Merriweather"/>
        </w:rPr>
      </w:pPr>
      <w:r>
        <w:rPr>
          <w:rFonts w:ascii="Merriweather" w:hAnsi="Merriweather"/>
        </w:rPr>
        <w:t xml:space="preserve">Determinar se existe um plano que defina </w:t>
      </w:r>
      <w:proofErr w:type="spellStart"/>
      <w:r>
        <w:rPr>
          <w:rFonts w:ascii="Merriweather" w:hAnsi="Merriweather"/>
        </w:rPr>
        <w:t>acções</w:t>
      </w:r>
      <w:proofErr w:type="spellEnd"/>
      <w:r>
        <w:rPr>
          <w:rFonts w:ascii="Merriweather" w:hAnsi="Merriweather"/>
        </w:rPr>
        <w:t xml:space="preserve"> prioritárias claras para a sobrevivência infantil.</w:t>
      </w:r>
    </w:p>
    <w:p w14:paraId="4583E5B3" w14:textId="784C33E4" w:rsidR="00F01150" w:rsidRPr="00125F2B" w:rsidRDefault="00817E65" w:rsidP="00125F2B">
      <w:pPr>
        <w:numPr>
          <w:ilvl w:val="1"/>
          <w:numId w:val="11"/>
        </w:numPr>
        <w:rPr>
          <w:rFonts w:ascii="Merriweather" w:eastAsia="Merriweather" w:hAnsi="Merriweather" w:cs="Merriweather"/>
        </w:rPr>
      </w:pPr>
      <w:r>
        <w:rPr>
          <w:rFonts w:ascii="Merriweather" w:hAnsi="Merriweather"/>
        </w:rPr>
        <w:t>Determinar se o plano se baseia numa análise situacional que abranja as principais componentes.</w:t>
      </w:r>
    </w:p>
    <w:p w14:paraId="700FD2ED" w14:textId="7DC0A906" w:rsidR="00F01150" w:rsidRDefault="00817E65" w:rsidP="00125F2B">
      <w:pPr>
        <w:numPr>
          <w:ilvl w:val="1"/>
          <w:numId w:val="11"/>
        </w:numPr>
        <w:rPr>
          <w:rFonts w:ascii="Merriweather" w:eastAsia="Merriweather" w:hAnsi="Merriweather" w:cs="Merriweather"/>
        </w:rPr>
      </w:pPr>
      <w:r>
        <w:rPr>
          <w:rFonts w:ascii="Merriweather" w:hAnsi="Merriweather"/>
        </w:rPr>
        <w:t xml:space="preserve">Determinar se as </w:t>
      </w:r>
      <w:proofErr w:type="spellStart"/>
      <w:r>
        <w:rPr>
          <w:rFonts w:ascii="Merriweather" w:hAnsi="Merriweather"/>
        </w:rPr>
        <w:t>acções</w:t>
      </w:r>
      <w:proofErr w:type="spellEnd"/>
      <w:r>
        <w:rPr>
          <w:rFonts w:ascii="Merriweather" w:hAnsi="Merriweather"/>
        </w:rPr>
        <w:t xml:space="preserve"> são transversais e consideradas prioritárias para todos os programas do Ministério da Saúde (por exemplo, malária, nutrição, cuidados de saúde primários, saúde comunitária, etc.).</w:t>
      </w:r>
    </w:p>
    <w:p w14:paraId="01F99F6E" w14:textId="77777777" w:rsidR="00125F2B" w:rsidRPr="00125F2B" w:rsidRDefault="00125F2B" w:rsidP="00125F2B">
      <w:pPr>
        <w:ind w:left="1440"/>
        <w:rPr>
          <w:rFonts w:ascii="Merriweather" w:eastAsia="Merriweather" w:hAnsi="Merriweather" w:cs="Merriweather"/>
        </w:rPr>
      </w:pPr>
    </w:p>
    <w:p w14:paraId="2A1BB234" w14:textId="77777777" w:rsidR="00F01150" w:rsidRPr="00125F2B" w:rsidRDefault="00F01150">
      <w:pPr>
        <w:ind w:left="1440"/>
        <w:rPr>
          <w:rFonts w:ascii="Merriweather" w:eastAsia="Merriweather" w:hAnsi="Merriweather" w:cs="Merriweather"/>
        </w:rPr>
      </w:pPr>
    </w:p>
    <w:p w14:paraId="03904225" w14:textId="3E5A284F" w:rsidR="00F01150" w:rsidRPr="00125F2B" w:rsidRDefault="00817E65" w:rsidP="00125F2B">
      <w:pPr>
        <w:numPr>
          <w:ilvl w:val="0"/>
          <w:numId w:val="10"/>
        </w:numPr>
        <w:rPr>
          <w:rFonts w:ascii="Merriweather" w:eastAsia="Merriweather" w:hAnsi="Merriweather" w:cs="Merriweather"/>
        </w:rPr>
      </w:pPr>
      <w:r>
        <w:rPr>
          <w:rFonts w:ascii="Merriweather" w:hAnsi="Merriweather"/>
        </w:rPr>
        <w:t>Rever a situação e os obstáculos através da realização de uma análise situacional ou da revisão de análises situacionais anteriores para avaliar o sistema de saúde e a capacidade de o país prestar serviços e ter intervenções no âmbito da saúde infantil.</w:t>
      </w:r>
    </w:p>
    <w:p w14:paraId="50464355" w14:textId="77777777" w:rsidR="00F01150" w:rsidRDefault="00F01150">
      <w:pPr>
        <w:rPr>
          <w:rFonts w:ascii="Merriweather" w:eastAsia="Merriweather" w:hAnsi="Merriweather" w:cs="Merriweather"/>
          <w:color w:val="333333"/>
          <w:highlight w:val="white"/>
        </w:rPr>
      </w:pPr>
    </w:p>
    <w:tbl>
      <w:tblPr>
        <w:tblStyle w:val="a8"/>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238D3B31" w14:textId="77777777">
        <w:tc>
          <w:tcPr>
            <w:tcW w:w="8070" w:type="dxa"/>
            <w:shd w:val="clear" w:color="auto" w:fill="D9D2E9"/>
            <w:tcMar>
              <w:top w:w="100" w:type="dxa"/>
              <w:left w:w="100" w:type="dxa"/>
              <w:bottom w:w="100" w:type="dxa"/>
              <w:right w:w="100" w:type="dxa"/>
            </w:tcMar>
          </w:tcPr>
          <w:p w14:paraId="3291EF11" w14:textId="074B66B5" w:rsidR="00F01150" w:rsidRDefault="00817E65">
            <w:pPr>
              <w:numPr>
                <w:ilvl w:val="0"/>
                <w:numId w:val="4"/>
              </w:numPr>
              <w:spacing w:line="259" w:lineRule="auto"/>
              <w:rPr>
                <w:b/>
                <w:sz w:val="16"/>
                <w:szCs w:val="16"/>
              </w:rPr>
            </w:pPr>
            <w:r>
              <w:rPr>
                <w:rFonts w:ascii="Merriweather" w:hAnsi="Merriweather"/>
                <w:b/>
                <w:sz w:val="16"/>
              </w:rPr>
              <w:t xml:space="preserve">Guia para a análise situacional da saúde infantil no país. </w:t>
            </w:r>
            <w:r>
              <w:rPr>
                <w:rFonts w:ascii="Merriweather" w:hAnsi="Merriweather"/>
                <w:sz w:val="16"/>
              </w:rPr>
              <w:t xml:space="preserve">Grupo de Trabalho sobre Saúde Infantil (2024). </w:t>
            </w:r>
            <w:r>
              <w:rPr>
                <w:rFonts w:ascii="Merriweather" w:hAnsi="Merriweather"/>
                <w:b/>
                <w:i/>
                <w:color w:val="FF0000"/>
                <w:sz w:val="16"/>
              </w:rPr>
              <w:t>A a</w:t>
            </w:r>
            <w:r w:rsidR="004D7F62">
              <w:rPr>
                <w:rFonts w:ascii="Merriweather" w:hAnsi="Merriweather"/>
                <w:b/>
                <w:i/>
                <w:color w:val="FF0000"/>
                <w:sz w:val="16"/>
              </w:rPr>
              <w:t>dicion</w:t>
            </w:r>
            <w:r>
              <w:rPr>
                <w:rFonts w:ascii="Merriweather" w:hAnsi="Merriweather"/>
                <w:b/>
                <w:i/>
                <w:color w:val="FF0000"/>
                <w:sz w:val="16"/>
              </w:rPr>
              <w:t>ar em breve.</w:t>
            </w:r>
          </w:p>
        </w:tc>
      </w:tr>
    </w:tbl>
    <w:p w14:paraId="7C247C5F" w14:textId="77777777" w:rsidR="00F01150" w:rsidRDefault="00F01150">
      <w:pPr>
        <w:ind w:left="720"/>
        <w:rPr>
          <w:rFonts w:ascii="Merriweather" w:eastAsia="Merriweather" w:hAnsi="Merriweather" w:cs="Merriweather"/>
        </w:rPr>
      </w:pPr>
    </w:p>
    <w:p w14:paraId="1EC443D9" w14:textId="77777777" w:rsidR="00F01150" w:rsidRDefault="00817E65">
      <w:pPr>
        <w:rPr>
          <w:rFonts w:ascii="Merriweather" w:eastAsia="Merriweather" w:hAnsi="Merriweather" w:cs="Merriweather"/>
        </w:rPr>
      </w:pPr>
      <w:r>
        <w:t xml:space="preserve">Para obter recursos e ferramentas adicionais para apoiar as </w:t>
      </w:r>
      <w:proofErr w:type="spellStart"/>
      <w:r>
        <w:t>actividades</w:t>
      </w:r>
      <w:proofErr w:type="spellEnd"/>
      <w:r>
        <w:t xml:space="preserve"> de Revisão e Análise, consulte a secção</w:t>
      </w:r>
      <w:r>
        <w:rPr>
          <w:rFonts w:ascii="Merriweather" w:hAnsi="Merriweather"/>
        </w:rPr>
        <w:t xml:space="preserve"> </w:t>
      </w:r>
      <w:hyperlink r:id="rId18">
        <w:r>
          <w:rPr>
            <w:rFonts w:ascii="Merriweather" w:hAnsi="Merriweather"/>
            <w:color w:val="1155CC"/>
            <w:u w:val="single"/>
          </w:rPr>
          <w:t>Kit de Ferramentas da CSA para Revisão e Análise</w:t>
        </w:r>
      </w:hyperlink>
      <w:r>
        <w:rPr>
          <w:rFonts w:ascii="Merriweather" w:hAnsi="Merriweather"/>
        </w:rPr>
        <w:t>.</w:t>
      </w:r>
    </w:p>
    <w:p w14:paraId="6A6B8EB5" w14:textId="77777777" w:rsidR="00F01150" w:rsidRDefault="00817E65">
      <w:pPr>
        <w:rPr>
          <w:rFonts w:ascii="Merriweather" w:eastAsia="Merriweather" w:hAnsi="Merriweather" w:cs="Merriweather"/>
        </w:rPr>
      </w:pPr>
      <w:r>
        <w:rPr>
          <w:noProof/>
        </w:rPr>
        <w:lastRenderedPageBreak/>
        <w:drawing>
          <wp:anchor distT="114300" distB="114300" distL="114300" distR="114300" simplePos="0" relativeHeight="251660288" behindDoc="0" locked="0" layoutInCell="1" hidden="0" allowOverlap="1" wp14:anchorId="79FBC089" wp14:editId="4A164713">
            <wp:simplePos x="0" y="0"/>
            <wp:positionH relativeFrom="column">
              <wp:posOffset>19051</wp:posOffset>
            </wp:positionH>
            <wp:positionV relativeFrom="paragraph">
              <wp:posOffset>220993</wp:posOffset>
            </wp:positionV>
            <wp:extent cx="566928" cy="68031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6928" cy="680314"/>
                    </a:xfrm>
                    <a:prstGeom prst="rect">
                      <a:avLst/>
                    </a:prstGeom>
                    <a:ln/>
                  </pic:spPr>
                </pic:pic>
              </a:graphicData>
            </a:graphic>
          </wp:anchor>
        </w:drawing>
      </w:r>
    </w:p>
    <w:p w14:paraId="3B4E9C68" w14:textId="77777777" w:rsidR="00F01150" w:rsidRDefault="00F01150">
      <w:pPr>
        <w:rPr>
          <w:rFonts w:ascii="Merriweather" w:eastAsia="Merriweather" w:hAnsi="Merriweather" w:cs="Merriweather"/>
          <w:b/>
          <w:sz w:val="24"/>
          <w:szCs w:val="24"/>
        </w:rPr>
      </w:pPr>
    </w:p>
    <w:p w14:paraId="51D315C6" w14:textId="77777777" w:rsidR="00F01150" w:rsidRDefault="00817E65">
      <w:pPr>
        <w:rPr>
          <w:rFonts w:ascii="Merriweather" w:eastAsia="Merriweather" w:hAnsi="Merriweather" w:cs="Merriweather"/>
          <w:b/>
          <w:sz w:val="24"/>
          <w:szCs w:val="24"/>
        </w:rPr>
      </w:pPr>
      <w:r>
        <w:rPr>
          <w:rFonts w:ascii="Merriweather" w:hAnsi="Merriweather"/>
          <w:b/>
          <w:sz w:val="24"/>
        </w:rPr>
        <w:t>Planificação e Cálculo de Custos</w:t>
      </w:r>
    </w:p>
    <w:p w14:paraId="29F73E86" w14:textId="77777777" w:rsidR="00F01150" w:rsidRDefault="00F01150">
      <w:pPr>
        <w:shd w:val="clear" w:color="auto" w:fill="FFFFFF"/>
        <w:spacing w:after="300"/>
        <w:rPr>
          <w:rFonts w:ascii="Merriweather" w:eastAsia="Merriweather" w:hAnsi="Merriweather" w:cs="Merriweather"/>
          <w:color w:val="333333"/>
        </w:rPr>
      </w:pPr>
    </w:p>
    <w:p w14:paraId="0D265C3F" w14:textId="77777777" w:rsidR="00F01150" w:rsidRPr="00125F2B" w:rsidRDefault="00817E65">
      <w:pPr>
        <w:shd w:val="clear" w:color="auto" w:fill="FFFFFF"/>
        <w:spacing w:after="300"/>
        <w:rPr>
          <w:rFonts w:ascii="Merriweather" w:eastAsia="Merriweather" w:hAnsi="Merriweather" w:cs="Merriweather"/>
        </w:rPr>
      </w:pPr>
      <w:r>
        <w:rPr>
          <w:rFonts w:ascii="Merriweather" w:hAnsi="Merriweather"/>
        </w:rPr>
        <w:t xml:space="preserve">Ao aperfeiçoar e rever os planos de saúde infantil, os países devem primeiro chegar a acordo sobre as </w:t>
      </w:r>
      <w:proofErr w:type="spellStart"/>
      <w:r>
        <w:rPr>
          <w:rFonts w:ascii="Merriweather" w:hAnsi="Merriweather"/>
        </w:rPr>
        <w:t>actividades</w:t>
      </w:r>
      <w:proofErr w:type="spellEnd"/>
      <w:r>
        <w:rPr>
          <w:rFonts w:ascii="Merriweather" w:hAnsi="Merriweather"/>
        </w:rPr>
        <w:t xml:space="preserve"> a serem priorizadas.   Os exercícios de definição de prioridades podem ajudar a garantir que os fundos sejam </w:t>
      </w:r>
      <w:proofErr w:type="spellStart"/>
      <w:r>
        <w:rPr>
          <w:rFonts w:ascii="Merriweather" w:hAnsi="Merriweather"/>
        </w:rPr>
        <w:t>afectados</w:t>
      </w:r>
      <w:proofErr w:type="spellEnd"/>
      <w:r>
        <w:rPr>
          <w:rFonts w:ascii="Merriweather" w:hAnsi="Merriweather"/>
        </w:rPr>
        <w:t xml:space="preserve"> de forma apropriada e que os recursos e as intervenções sejam estrategicamente </w:t>
      </w:r>
      <w:proofErr w:type="spellStart"/>
      <w:r>
        <w:rPr>
          <w:rFonts w:ascii="Merriweather" w:hAnsi="Merriweather"/>
        </w:rPr>
        <w:t>seleccionadas</w:t>
      </w:r>
      <w:proofErr w:type="spellEnd"/>
      <w:r>
        <w:rPr>
          <w:rFonts w:ascii="Merriweather" w:hAnsi="Merriweather"/>
        </w:rPr>
        <w:t xml:space="preserve">. Os critérios de definição de prioridades devem ser claros e baseados em dados e resultados de </w:t>
      </w:r>
      <w:proofErr w:type="spellStart"/>
      <w:r>
        <w:rPr>
          <w:rFonts w:ascii="Merriweather" w:hAnsi="Merriweather"/>
        </w:rPr>
        <w:t>actividades</w:t>
      </w:r>
      <w:proofErr w:type="spellEnd"/>
      <w:r>
        <w:rPr>
          <w:rFonts w:ascii="Merriweather" w:hAnsi="Merriweather"/>
        </w:rPr>
        <w:t xml:space="preserve"> de revisão e análise anteriores, bem como em consultas com várias partes interessadas.</w:t>
      </w:r>
    </w:p>
    <w:p w14:paraId="13AD8DE5" w14:textId="5C36672E" w:rsidR="00F01150" w:rsidRPr="00125F2B" w:rsidRDefault="00817E65">
      <w:pPr>
        <w:shd w:val="clear" w:color="auto" w:fill="FFFFFF"/>
        <w:spacing w:after="300"/>
        <w:rPr>
          <w:rFonts w:ascii="Merriweather" w:eastAsia="Merriweather" w:hAnsi="Merriweather" w:cs="Merriweather"/>
        </w:rPr>
      </w:pPr>
      <w:r>
        <w:rPr>
          <w:rFonts w:ascii="Merriweather" w:hAnsi="Merriweather"/>
        </w:rPr>
        <w:t xml:space="preserve">Após a determinação das prioridades, estas podem ser traduzidas em </w:t>
      </w:r>
      <w:proofErr w:type="spellStart"/>
      <w:r>
        <w:rPr>
          <w:rFonts w:ascii="Merriweather" w:hAnsi="Merriweather"/>
        </w:rPr>
        <w:t>acções</w:t>
      </w:r>
      <w:proofErr w:type="spellEnd"/>
      <w:r>
        <w:rPr>
          <w:rFonts w:ascii="Merriweather" w:hAnsi="Merriweather"/>
        </w:rPr>
        <w:t xml:space="preserve"> prioritárias no âmbito de um plano de médio prazo. O processo deve incluir a definição de </w:t>
      </w:r>
      <w:proofErr w:type="spellStart"/>
      <w:r>
        <w:rPr>
          <w:rFonts w:ascii="Merriweather" w:hAnsi="Merriweather"/>
        </w:rPr>
        <w:t>objectivos</w:t>
      </w:r>
      <w:proofErr w:type="spellEnd"/>
      <w:r>
        <w:rPr>
          <w:rFonts w:ascii="Merriweather" w:hAnsi="Merriweather"/>
        </w:rPr>
        <w:t xml:space="preserve"> e metas fundamentais em conformidade com as prioridades identificadas e a formulação de </w:t>
      </w:r>
      <w:proofErr w:type="spellStart"/>
      <w:r>
        <w:rPr>
          <w:rFonts w:ascii="Merriweather" w:hAnsi="Merriweather"/>
        </w:rPr>
        <w:t>acções</w:t>
      </w:r>
      <w:proofErr w:type="spellEnd"/>
      <w:r>
        <w:rPr>
          <w:rFonts w:ascii="Merriweather" w:hAnsi="Merriweather"/>
        </w:rPr>
        <w:t xml:space="preserve"> (ou </w:t>
      </w:r>
      <w:proofErr w:type="spellStart"/>
      <w:r>
        <w:rPr>
          <w:rFonts w:ascii="Merriweather" w:hAnsi="Merriweather"/>
        </w:rPr>
        <w:t>actividades</w:t>
      </w:r>
      <w:proofErr w:type="spellEnd"/>
      <w:r>
        <w:rPr>
          <w:rFonts w:ascii="Merriweather" w:hAnsi="Merriweather"/>
        </w:rPr>
        <w:t xml:space="preserve">) fundamentais para alcançar os </w:t>
      </w:r>
      <w:proofErr w:type="spellStart"/>
      <w:r>
        <w:rPr>
          <w:rFonts w:ascii="Merriweather" w:hAnsi="Merriweather"/>
        </w:rPr>
        <w:t>objectivos</w:t>
      </w:r>
      <w:proofErr w:type="spellEnd"/>
      <w:r>
        <w:rPr>
          <w:rFonts w:ascii="Merriweather" w:hAnsi="Merriweather"/>
        </w:rPr>
        <w:t>.</w:t>
      </w:r>
    </w:p>
    <w:p w14:paraId="042935BB" w14:textId="77777777" w:rsidR="00F01150" w:rsidRPr="00125F2B" w:rsidRDefault="00817E65">
      <w:pPr>
        <w:shd w:val="clear" w:color="auto" w:fill="FFFFFF"/>
        <w:spacing w:after="300"/>
        <w:rPr>
          <w:rFonts w:ascii="Merriweather" w:eastAsia="Merriweather" w:hAnsi="Merriweather" w:cs="Merriweather"/>
          <w:b/>
        </w:rPr>
      </w:pPr>
      <w:r>
        <w:rPr>
          <w:rFonts w:ascii="Merriweather" w:hAnsi="Merriweather"/>
        </w:rPr>
        <w:t xml:space="preserve">O cálculo de custos é também parte integrante do processo de planificação. A estimativa dos custos de um plano fornece informações sobre as necessidades de recursos financeiros para as </w:t>
      </w:r>
      <w:proofErr w:type="spellStart"/>
      <w:r>
        <w:rPr>
          <w:rFonts w:ascii="Merriweather" w:hAnsi="Merriweather"/>
        </w:rPr>
        <w:t>actividades</w:t>
      </w:r>
      <w:proofErr w:type="spellEnd"/>
      <w:r>
        <w:rPr>
          <w:rFonts w:ascii="Merriweather" w:hAnsi="Merriweather"/>
        </w:rPr>
        <w:t xml:space="preserve"> planificadas, permitindo aos decisores considerar se as </w:t>
      </w:r>
      <w:proofErr w:type="spellStart"/>
      <w:r>
        <w:rPr>
          <w:rFonts w:ascii="Merriweather" w:hAnsi="Merriweather"/>
        </w:rPr>
        <w:t>actividades</w:t>
      </w:r>
      <w:proofErr w:type="spellEnd"/>
      <w:r>
        <w:rPr>
          <w:rFonts w:ascii="Merriweather" w:hAnsi="Merriweather"/>
        </w:rPr>
        <w:t xml:space="preserve"> estratégicas são viáveis e acessíveis. Deve ser realizado um levantamento dos documentos relevantes, incluindo exercícios de cálculo de custos de planos anteriores, para fundamentar as </w:t>
      </w:r>
      <w:proofErr w:type="spellStart"/>
      <w:r>
        <w:rPr>
          <w:rFonts w:ascii="Merriweather" w:hAnsi="Merriweather"/>
        </w:rPr>
        <w:t>actuais</w:t>
      </w:r>
      <w:proofErr w:type="spellEnd"/>
      <w:r>
        <w:rPr>
          <w:rFonts w:ascii="Merriweather" w:hAnsi="Merriweather"/>
        </w:rPr>
        <w:t xml:space="preserve"> </w:t>
      </w:r>
      <w:proofErr w:type="spellStart"/>
      <w:r>
        <w:rPr>
          <w:rFonts w:ascii="Merriweather" w:hAnsi="Merriweather"/>
        </w:rPr>
        <w:t>projecções</w:t>
      </w:r>
      <w:proofErr w:type="spellEnd"/>
      <w:r>
        <w:rPr>
          <w:rFonts w:ascii="Merriweather" w:hAnsi="Merriweather"/>
        </w:rPr>
        <w:t xml:space="preserve"> de custos. Os custos </w:t>
      </w:r>
      <w:proofErr w:type="spellStart"/>
      <w:r>
        <w:rPr>
          <w:rFonts w:ascii="Merriweather" w:hAnsi="Merriweather"/>
        </w:rPr>
        <w:t>projectados</w:t>
      </w:r>
      <w:proofErr w:type="spellEnd"/>
      <w:r>
        <w:rPr>
          <w:rFonts w:ascii="Merriweather" w:hAnsi="Merriweather"/>
        </w:rPr>
        <w:t xml:space="preserve"> podem ser comparados com os recursos financeiros disponíveis para identificar potenciais lacunas de recursos. O cálculo de custos é um processo iterativo que, frequentemente, requer várias rondas de discussão e de cálculos.</w:t>
      </w:r>
    </w:p>
    <w:p w14:paraId="3BFEE881" w14:textId="77777777" w:rsidR="00F01150" w:rsidRDefault="00817E65">
      <w:pPr>
        <w:rPr>
          <w:rFonts w:ascii="Merriweather" w:eastAsia="Merriweather" w:hAnsi="Merriweather" w:cs="Merriweather"/>
          <w:b/>
        </w:rPr>
      </w:pPr>
      <w:r>
        <w:rPr>
          <w:rFonts w:ascii="Merriweather" w:hAnsi="Merriweather"/>
          <w:b/>
          <w:color w:val="645DC7"/>
        </w:rPr>
        <w:t xml:space="preserve">Principais </w:t>
      </w:r>
      <w:proofErr w:type="spellStart"/>
      <w:r>
        <w:rPr>
          <w:rFonts w:ascii="Merriweather" w:hAnsi="Merriweather"/>
          <w:b/>
          <w:color w:val="645DC7"/>
        </w:rPr>
        <w:t>actividades</w:t>
      </w:r>
      <w:proofErr w:type="spellEnd"/>
      <w:r>
        <w:rPr>
          <w:rFonts w:ascii="Merriweather" w:hAnsi="Merriweather"/>
          <w:b/>
          <w:color w:val="645DC7"/>
        </w:rPr>
        <w:t>:</w:t>
      </w:r>
    </w:p>
    <w:p w14:paraId="3D2A5EBA" w14:textId="6FBAFE8A" w:rsidR="00F01150" w:rsidRPr="00125F2B" w:rsidRDefault="00817E65" w:rsidP="00125F2B">
      <w:pPr>
        <w:numPr>
          <w:ilvl w:val="0"/>
          <w:numId w:val="12"/>
        </w:numPr>
        <w:rPr>
          <w:rFonts w:ascii="Merriweather" w:eastAsia="Merriweather" w:hAnsi="Merriweather" w:cs="Merriweather"/>
        </w:rPr>
      </w:pPr>
      <w:r>
        <w:rPr>
          <w:rFonts w:ascii="Merriweather" w:hAnsi="Merriweather"/>
        </w:rPr>
        <w:t xml:space="preserve">Através de reuniões/seminários com as principais partes interessadas, discutir e analisar os principais problemas/obstáculos que </w:t>
      </w:r>
      <w:proofErr w:type="spellStart"/>
      <w:r>
        <w:rPr>
          <w:rFonts w:ascii="Merriweather" w:hAnsi="Merriweather"/>
        </w:rPr>
        <w:t>afectam</w:t>
      </w:r>
      <w:proofErr w:type="spellEnd"/>
      <w:r>
        <w:rPr>
          <w:rFonts w:ascii="Merriweather" w:hAnsi="Merriweather"/>
        </w:rPr>
        <w:t xml:space="preserve"> a redução da mortalidade infantil e a forma de os resolver.</w:t>
      </w:r>
    </w:p>
    <w:p w14:paraId="1D80D273" w14:textId="3AE5B210" w:rsidR="00F01150" w:rsidRPr="00125F2B" w:rsidRDefault="00817E65" w:rsidP="00125F2B">
      <w:pPr>
        <w:numPr>
          <w:ilvl w:val="1"/>
          <w:numId w:val="13"/>
        </w:numPr>
        <w:rPr>
          <w:rFonts w:ascii="Merriweather" w:eastAsia="Merriweather" w:hAnsi="Merriweather" w:cs="Merriweather"/>
        </w:rPr>
      </w:pPr>
      <w:r>
        <w:rPr>
          <w:rFonts w:ascii="Merriweather" w:hAnsi="Merriweather"/>
        </w:rPr>
        <w:t xml:space="preserve">Identificar e dar prioridade às </w:t>
      </w:r>
      <w:proofErr w:type="spellStart"/>
      <w:r>
        <w:rPr>
          <w:rFonts w:ascii="Merriweather" w:hAnsi="Merriweather"/>
        </w:rPr>
        <w:t>actividades</w:t>
      </w:r>
      <w:proofErr w:type="spellEnd"/>
      <w:r>
        <w:rPr>
          <w:rFonts w:ascii="Merriweather" w:hAnsi="Merriweather"/>
        </w:rPr>
        <w:t>/intervenções que serão as mais importantes para reduzir a mortalidade infantil.</w:t>
      </w:r>
    </w:p>
    <w:p w14:paraId="0F5C6796" w14:textId="31DCE0F4" w:rsidR="00F01150" w:rsidRPr="00125F2B" w:rsidRDefault="00817E65" w:rsidP="00125F2B">
      <w:pPr>
        <w:numPr>
          <w:ilvl w:val="1"/>
          <w:numId w:val="13"/>
        </w:numPr>
        <w:rPr>
          <w:rFonts w:ascii="Merriweather" w:eastAsia="Merriweather" w:hAnsi="Merriweather" w:cs="Merriweather"/>
          <w:color w:val="333333"/>
          <w:highlight w:val="white"/>
        </w:rPr>
      </w:pPr>
      <w:r>
        <w:rPr>
          <w:rFonts w:ascii="Merriweather" w:hAnsi="Merriweather"/>
        </w:rPr>
        <w:t xml:space="preserve">Trabalho de grupo - cada grupo escolhe um ou mais obstáculos e discute soluções, as </w:t>
      </w:r>
      <w:proofErr w:type="spellStart"/>
      <w:r>
        <w:rPr>
          <w:rFonts w:ascii="Merriweather" w:hAnsi="Merriweather"/>
        </w:rPr>
        <w:t>acções</w:t>
      </w:r>
      <w:proofErr w:type="spellEnd"/>
      <w:r>
        <w:rPr>
          <w:rFonts w:ascii="Merriweather" w:hAnsi="Merriweather"/>
        </w:rPr>
        <w:t>-chave para implementar as soluções e as etapas.</w:t>
      </w:r>
    </w:p>
    <w:p w14:paraId="66FEAE8C" w14:textId="77777777" w:rsidR="00F01150" w:rsidRDefault="00F01150">
      <w:pPr>
        <w:ind w:left="1440"/>
        <w:rPr>
          <w:rFonts w:ascii="Merriweather" w:eastAsia="Merriweather" w:hAnsi="Merriweather" w:cs="Merriweather"/>
          <w:color w:val="333333"/>
          <w:highlight w:val="white"/>
        </w:rPr>
      </w:pPr>
    </w:p>
    <w:tbl>
      <w:tblPr>
        <w:tblStyle w:val="a9"/>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5C8EF19" w14:textId="77777777">
        <w:tc>
          <w:tcPr>
            <w:tcW w:w="8070" w:type="dxa"/>
            <w:shd w:val="clear" w:color="auto" w:fill="D9D2E9"/>
            <w:tcMar>
              <w:top w:w="100" w:type="dxa"/>
              <w:left w:w="100" w:type="dxa"/>
              <w:bottom w:w="100" w:type="dxa"/>
              <w:right w:w="100" w:type="dxa"/>
            </w:tcMar>
          </w:tcPr>
          <w:p w14:paraId="537B0E85" w14:textId="16CBC406" w:rsidR="00F01150" w:rsidRDefault="00817E65">
            <w:pPr>
              <w:numPr>
                <w:ilvl w:val="0"/>
                <w:numId w:val="4"/>
              </w:numPr>
              <w:spacing w:line="259" w:lineRule="auto"/>
              <w:rPr>
                <w:b/>
                <w:sz w:val="16"/>
                <w:szCs w:val="16"/>
              </w:rPr>
            </w:pPr>
            <w:r>
              <w:rPr>
                <w:rFonts w:ascii="Merriweather" w:hAnsi="Merriweather"/>
                <w:b/>
                <w:sz w:val="16"/>
              </w:rPr>
              <w:t xml:space="preserve">Modelo de agenda para o seminário de definição de prioridades. </w:t>
            </w:r>
            <w:r>
              <w:rPr>
                <w:rFonts w:ascii="Merriweather" w:hAnsi="Merriweather"/>
                <w:sz w:val="16"/>
              </w:rPr>
              <w:t xml:space="preserve">Grupo de Trabalho sobre Saúde Infantil (2024). </w:t>
            </w:r>
            <w:r>
              <w:rPr>
                <w:rFonts w:ascii="Merriweather" w:hAnsi="Merriweather"/>
                <w:b/>
                <w:i/>
                <w:color w:val="FF0000"/>
                <w:sz w:val="16"/>
              </w:rPr>
              <w:t>A a</w:t>
            </w:r>
            <w:r w:rsidR="004D7F62">
              <w:rPr>
                <w:rFonts w:ascii="Merriweather" w:hAnsi="Merriweather"/>
                <w:b/>
                <w:i/>
                <w:color w:val="FF0000"/>
                <w:sz w:val="16"/>
              </w:rPr>
              <w:t>dicion</w:t>
            </w:r>
            <w:r>
              <w:rPr>
                <w:rFonts w:ascii="Merriweather" w:hAnsi="Merriweather"/>
                <w:b/>
                <w:i/>
                <w:color w:val="FF0000"/>
                <w:sz w:val="16"/>
              </w:rPr>
              <w:t>ar em breve.</w:t>
            </w:r>
          </w:p>
          <w:p w14:paraId="32E8E01B" w14:textId="0E6E6A16" w:rsidR="00F01150" w:rsidRPr="005217F1" w:rsidRDefault="00000000">
            <w:pPr>
              <w:numPr>
                <w:ilvl w:val="0"/>
                <w:numId w:val="4"/>
              </w:numPr>
              <w:spacing w:line="259" w:lineRule="auto"/>
              <w:rPr>
                <w:b/>
                <w:sz w:val="16"/>
                <w:szCs w:val="16"/>
              </w:rPr>
            </w:pPr>
            <w:hyperlink r:id="rId20" w:history="1">
              <w:r>
                <w:rPr>
                  <w:rStyle w:val="Hiperligao"/>
                  <w:rFonts w:ascii="Merriweather" w:hAnsi="Merriweather"/>
                  <w:b/>
                  <w:sz w:val="16"/>
                </w:rPr>
                <w:t>Modelo de PowerPoint para o trabalho de grupo durante o seminário de definição de prioridades</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 xml:space="preserve">Grupo de Trabalho sobre Saúde Infantil (2024). </w:t>
            </w:r>
          </w:p>
          <w:p w14:paraId="2250F525" w14:textId="0B4E7FC3" w:rsidR="005217F1" w:rsidRDefault="00000000">
            <w:pPr>
              <w:numPr>
                <w:ilvl w:val="0"/>
                <w:numId w:val="4"/>
              </w:numPr>
              <w:spacing w:line="259" w:lineRule="auto"/>
              <w:rPr>
                <w:b/>
                <w:sz w:val="16"/>
                <w:szCs w:val="16"/>
              </w:rPr>
            </w:pPr>
            <w:hyperlink r:id="rId21" w:history="1">
              <w:r>
                <w:rPr>
                  <w:rStyle w:val="Hiperligao"/>
                  <w:rFonts w:ascii="Merriweather" w:hAnsi="Merriweather"/>
                  <w:b/>
                  <w:sz w:val="16"/>
                </w:rPr>
                <w:t>Descrição geral das ferramentas de apoio aos exercícios de definição de prioridades e de cálculo de custos</w:t>
              </w:r>
            </w:hyperlink>
            <w:r>
              <w:rPr>
                <w:rFonts w:ascii="Merriweather" w:hAnsi="Merriweather"/>
                <w:sz w:val="16"/>
              </w:rPr>
              <w:t>. Grupo de Trabalho sobre Saúde Infantil (2024).</w:t>
            </w:r>
          </w:p>
          <w:p w14:paraId="2AEA32D8" w14:textId="77777777" w:rsidR="00F01150" w:rsidRDefault="00000000">
            <w:pPr>
              <w:numPr>
                <w:ilvl w:val="0"/>
                <w:numId w:val="4"/>
              </w:numPr>
              <w:spacing w:line="259" w:lineRule="auto"/>
              <w:rPr>
                <w:rFonts w:ascii="Merriweather" w:eastAsia="Merriweather" w:hAnsi="Merriweather" w:cs="Merriweather"/>
                <w:b/>
                <w:sz w:val="16"/>
                <w:szCs w:val="16"/>
              </w:rPr>
            </w:pPr>
            <w:hyperlink r:id="rId22">
              <w:r>
                <w:rPr>
                  <w:rFonts w:ascii="Merriweather" w:hAnsi="Merriweather"/>
                  <w:b/>
                  <w:color w:val="0000FF"/>
                  <w:sz w:val="16"/>
                  <w:u w:val="single"/>
                </w:rPr>
                <w:t>Ferramenta de Uma Saúde</w:t>
              </w:r>
            </w:hyperlink>
          </w:p>
          <w:p w14:paraId="75AD436F" w14:textId="50EFA5ED" w:rsidR="00F01150" w:rsidRDefault="00000000">
            <w:pPr>
              <w:numPr>
                <w:ilvl w:val="0"/>
                <w:numId w:val="4"/>
              </w:numPr>
              <w:spacing w:line="259" w:lineRule="auto"/>
              <w:rPr>
                <w:sz w:val="16"/>
                <w:szCs w:val="16"/>
              </w:rPr>
            </w:pPr>
            <w:hyperlink r:id="rId23" w:history="1">
              <w:r>
                <w:rPr>
                  <w:rStyle w:val="Hiperligao"/>
                  <w:rFonts w:ascii="Merriweather" w:hAnsi="Merriweather"/>
                  <w:b/>
                  <w:sz w:val="16"/>
                </w:rPr>
                <w:t>Recomendações para o Utilizador de Uma Saúde</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p w14:paraId="1300F7A8" w14:textId="77777777" w:rsidR="00F01150" w:rsidRDefault="00000000">
            <w:pPr>
              <w:numPr>
                <w:ilvl w:val="0"/>
                <w:numId w:val="4"/>
              </w:numPr>
              <w:spacing w:line="259" w:lineRule="auto"/>
              <w:rPr>
                <w:rFonts w:ascii="Merriweather" w:eastAsia="Merriweather" w:hAnsi="Merriweather" w:cs="Merriweather"/>
                <w:b/>
                <w:sz w:val="16"/>
                <w:szCs w:val="16"/>
              </w:rPr>
            </w:pPr>
            <w:hyperlink r:id="rId24">
              <w:r>
                <w:rPr>
                  <w:rFonts w:ascii="Merriweather" w:hAnsi="Merriweather"/>
                  <w:b/>
                  <w:color w:val="0000FF"/>
                  <w:sz w:val="16"/>
                  <w:u w:val="single"/>
                </w:rPr>
                <w:t>Ferramenta de Visas Salvas (LIST)</w:t>
              </w:r>
            </w:hyperlink>
          </w:p>
          <w:p w14:paraId="2729A51A" w14:textId="5BE12F59" w:rsidR="00F01150" w:rsidRDefault="00000000">
            <w:pPr>
              <w:numPr>
                <w:ilvl w:val="0"/>
                <w:numId w:val="4"/>
              </w:numPr>
              <w:spacing w:line="259" w:lineRule="auto"/>
              <w:rPr>
                <w:sz w:val="16"/>
                <w:szCs w:val="16"/>
              </w:rPr>
            </w:pPr>
            <w:hyperlink r:id="rId25" w:history="1">
              <w:r>
                <w:rPr>
                  <w:rStyle w:val="Hiperligao"/>
                  <w:rFonts w:ascii="Merriweather" w:hAnsi="Merriweather"/>
                  <w:b/>
                  <w:sz w:val="16"/>
                </w:rPr>
                <w:t xml:space="preserve">Recomendações para o Utilizador de </w:t>
              </w:r>
              <w:proofErr w:type="spellStart"/>
              <w:r>
                <w:rPr>
                  <w:rStyle w:val="Hiperligao"/>
                  <w:rFonts w:ascii="Merriweather" w:hAnsi="Merriweather"/>
                  <w:b/>
                  <w:sz w:val="16"/>
                </w:rPr>
                <w:t>LiST</w:t>
              </w:r>
              <w:proofErr w:type="spellEnd"/>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p w14:paraId="03AF8B59" w14:textId="77777777" w:rsidR="00F01150" w:rsidRDefault="00000000">
            <w:pPr>
              <w:numPr>
                <w:ilvl w:val="0"/>
                <w:numId w:val="4"/>
              </w:numPr>
              <w:spacing w:line="259" w:lineRule="auto"/>
              <w:rPr>
                <w:rFonts w:ascii="Merriweather" w:eastAsia="Merriweather" w:hAnsi="Merriweather" w:cs="Merriweather"/>
                <w:b/>
                <w:sz w:val="16"/>
                <w:szCs w:val="16"/>
              </w:rPr>
            </w:pPr>
            <w:hyperlink r:id="rId26">
              <w:r>
                <w:rPr>
                  <w:rFonts w:ascii="Merriweather" w:hAnsi="Merriweather"/>
                  <w:b/>
                  <w:color w:val="0000FF"/>
                  <w:sz w:val="16"/>
                  <w:u w:val="single"/>
                </w:rPr>
                <w:t>Ferramenta EQUIST</w:t>
              </w:r>
            </w:hyperlink>
            <w:r>
              <w:t xml:space="preserve"> </w:t>
            </w:r>
          </w:p>
          <w:p w14:paraId="008191F4" w14:textId="58CB991D" w:rsidR="00F01150" w:rsidRDefault="00000000">
            <w:pPr>
              <w:numPr>
                <w:ilvl w:val="0"/>
                <w:numId w:val="4"/>
              </w:numPr>
              <w:spacing w:line="259" w:lineRule="auto"/>
              <w:rPr>
                <w:rFonts w:ascii="Merriweather" w:eastAsia="Merriweather" w:hAnsi="Merriweather" w:cs="Merriweather"/>
                <w:sz w:val="16"/>
                <w:szCs w:val="16"/>
              </w:rPr>
            </w:pPr>
            <w:hyperlink r:id="rId27" w:history="1">
              <w:r>
                <w:rPr>
                  <w:rStyle w:val="Hiperligao"/>
                  <w:rFonts w:ascii="Merriweather" w:hAnsi="Merriweather"/>
                  <w:b/>
                  <w:sz w:val="16"/>
                </w:rPr>
                <w:t xml:space="preserve">Recomendações para o Utilizador de EQUIST </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tc>
      </w:tr>
    </w:tbl>
    <w:p w14:paraId="08894111" w14:textId="77777777" w:rsidR="00F01150" w:rsidRDefault="00F01150">
      <w:pPr>
        <w:rPr>
          <w:rFonts w:ascii="Merriweather" w:eastAsia="Merriweather" w:hAnsi="Merriweather" w:cs="Merriweather"/>
        </w:rPr>
      </w:pPr>
    </w:p>
    <w:p w14:paraId="1491E3E1" w14:textId="6D670452" w:rsidR="00F01150" w:rsidRPr="00125F2B" w:rsidRDefault="00817E65" w:rsidP="00125F2B">
      <w:pPr>
        <w:numPr>
          <w:ilvl w:val="0"/>
          <w:numId w:val="14"/>
        </w:numPr>
        <w:rPr>
          <w:rFonts w:ascii="Merriweather" w:eastAsia="Merriweather" w:hAnsi="Merriweather" w:cs="Merriweather"/>
        </w:rPr>
      </w:pPr>
      <w:r>
        <w:rPr>
          <w:rFonts w:ascii="Merriweather" w:hAnsi="Merriweather"/>
        </w:rPr>
        <w:t xml:space="preserve">Reforçar, rever ou elaborar um plano de </w:t>
      </w:r>
      <w:proofErr w:type="spellStart"/>
      <w:r>
        <w:rPr>
          <w:rFonts w:ascii="Merriweather" w:hAnsi="Merriweather"/>
        </w:rPr>
        <w:t>acção</w:t>
      </w:r>
      <w:proofErr w:type="spellEnd"/>
      <w:r>
        <w:rPr>
          <w:rFonts w:ascii="Merriweather" w:hAnsi="Merriweather"/>
        </w:rPr>
        <w:t xml:space="preserve"> com o cálculo de custos e prioridades para melhorar a sobrevivência infantil.</w:t>
      </w:r>
    </w:p>
    <w:p w14:paraId="3BDFF9E0" w14:textId="2D8D577E" w:rsidR="00F01150" w:rsidRPr="00125F2B" w:rsidRDefault="00817E65" w:rsidP="00125F2B">
      <w:pPr>
        <w:numPr>
          <w:ilvl w:val="1"/>
          <w:numId w:val="15"/>
        </w:numPr>
        <w:rPr>
          <w:rFonts w:ascii="Merriweather" w:eastAsia="Merriweather" w:hAnsi="Merriweather" w:cs="Merriweather"/>
        </w:rPr>
      </w:pPr>
      <w:r>
        <w:rPr>
          <w:rFonts w:ascii="Merriweather" w:hAnsi="Merriweather"/>
        </w:rPr>
        <w:t xml:space="preserve">Definir </w:t>
      </w:r>
      <w:proofErr w:type="spellStart"/>
      <w:r>
        <w:rPr>
          <w:rFonts w:ascii="Merriweather" w:hAnsi="Merriweather"/>
        </w:rPr>
        <w:t>objectivos</w:t>
      </w:r>
      <w:proofErr w:type="spellEnd"/>
      <w:r>
        <w:rPr>
          <w:rFonts w:ascii="Merriweather" w:hAnsi="Merriweather"/>
        </w:rPr>
        <w:t xml:space="preserve"> e indicar claramente as funções e responsabilidades para as principais </w:t>
      </w:r>
      <w:proofErr w:type="spellStart"/>
      <w:r>
        <w:rPr>
          <w:rFonts w:ascii="Merriweather" w:hAnsi="Merriweather"/>
        </w:rPr>
        <w:t>acções</w:t>
      </w:r>
      <w:proofErr w:type="spellEnd"/>
      <w:r>
        <w:rPr>
          <w:rFonts w:ascii="Merriweather" w:hAnsi="Merriweather"/>
        </w:rPr>
        <w:t>.</w:t>
      </w:r>
    </w:p>
    <w:p w14:paraId="1A81C8D2" w14:textId="2B83D89D" w:rsidR="00F01150" w:rsidRPr="00125F2B" w:rsidRDefault="00817E65" w:rsidP="00125F2B">
      <w:pPr>
        <w:numPr>
          <w:ilvl w:val="1"/>
          <w:numId w:val="15"/>
        </w:numPr>
        <w:rPr>
          <w:rFonts w:ascii="Merriweather" w:eastAsia="Merriweather" w:hAnsi="Merriweather" w:cs="Merriweather"/>
        </w:rPr>
      </w:pPr>
      <w:r>
        <w:rPr>
          <w:rFonts w:ascii="Merriweather" w:hAnsi="Merriweather"/>
        </w:rPr>
        <w:t xml:space="preserve">Definir etapas e metas claras para as principais </w:t>
      </w:r>
      <w:proofErr w:type="spellStart"/>
      <w:r>
        <w:rPr>
          <w:rFonts w:ascii="Merriweather" w:hAnsi="Merriweather"/>
        </w:rPr>
        <w:t>actividades</w:t>
      </w:r>
      <w:proofErr w:type="spellEnd"/>
      <w:r>
        <w:rPr>
          <w:rFonts w:ascii="Merriweather" w:hAnsi="Merriweather"/>
        </w:rPr>
        <w:t xml:space="preserve">. </w:t>
      </w:r>
    </w:p>
    <w:p w14:paraId="0001E00F" w14:textId="77777777" w:rsidR="00F01150" w:rsidRDefault="00F01150">
      <w:pPr>
        <w:rPr>
          <w:rFonts w:ascii="Merriweather" w:eastAsia="Merriweather" w:hAnsi="Merriweather" w:cs="Merriweather"/>
          <w:color w:val="333333"/>
          <w:highlight w:val="white"/>
        </w:rPr>
      </w:pPr>
    </w:p>
    <w:tbl>
      <w:tblPr>
        <w:tblStyle w:val="aa"/>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1B16ED8C" w14:textId="77777777">
        <w:tc>
          <w:tcPr>
            <w:tcW w:w="8070" w:type="dxa"/>
            <w:shd w:val="clear" w:color="auto" w:fill="D9D2E9"/>
            <w:tcMar>
              <w:top w:w="100" w:type="dxa"/>
              <w:left w:w="100" w:type="dxa"/>
              <w:bottom w:w="100" w:type="dxa"/>
              <w:right w:w="100" w:type="dxa"/>
            </w:tcMar>
          </w:tcPr>
          <w:p w14:paraId="62FD42AA" w14:textId="7AD83E3A" w:rsidR="00F01150" w:rsidRDefault="00000000">
            <w:pPr>
              <w:numPr>
                <w:ilvl w:val="0"/>
                <w:numId w:val="4"/>
              </w:numPr>
              <w:spacing w:line="259" w:lineRule="auto"/>
              <w:rPr>
                <w:b/>
                <w:sz w:val="16"/>
                <w:szCs w:val="16"/>
              </w:rPr>
            </w:pPr>
            <w:hyperlink r:id="rId28" w:tgtFrame="_blank" w:history="1">
              <w:r>
                <w:rPr>
                  <w:rStyle w:val="Hiperligao"/>
                  <w:rFonts w:ascii="Merriweather" w:hAnsi="Merriweather"/>
                  <w:b/>
                  <w:sz w:val="16"/>
                </w:rPr>
                <w:t xml:space="preserve">Exemplo de Termos de Referência para a elaboração de um Plano de </w:t>
              </w:r>
              <w:proofErr w:type="spellStart"/>
              <w:r>
                <w:rPr>
                  <w:rStyle w:val="Hiperligao"/>
                  <w:rFonts w:ascii="Merriweather" w:hAnsi="Merriweather"/>
                  <w:b/>
                  <w:sz w:val="16"/>
                </w:rPr>
                <w:t>Acção</w:t>
              </w:r>
              <w:proofErr w:type="spellEnd"/>
              <w:r>
                <w:rPr>
                  <w:rStyle w:val="Hiperligao"/>
                  <w:rFonts w:ascii="Merriweather" w:hAnsi="Merriweather"/>
                  <w:b/>
                  <w:sz w:val="16"/>
                </w:rPr>
                <w:t xml:space="preserve"> para a Sobrevivência Infantil</w:t>
              </w:r>
            </w:hyperlink>
            <w:r>
              <w:rPr>
                <w:rFonts w:ascii="Merriweather" w:hAnsi="Merriweather"/>
                <w:b/>
                <w:sz w:val="16"/>
              </w:rPr>
              <w:t>.</w:t>
            </w:r>
            <w:r>
              <w:rPr>
                <w:rFonts w:ascii="Merriweather" w:hAnsi="Merriweather"/>
                <w:sz w:val="16"/>
              </w:rPr>
              <w:t xml:space="preserve"> </w:t>
            </w:r>
            <w:r>
              <w:rPr>
                <w:rFonts w:ascii="Merriweather" w:hAnsi="Merriweather"/>
                <w:b/>
                <w:sz w:val="16"/>
              </w:rPr>
              <w:t xml:space="preserve"> </w:t>
            </w:r>
            <w:r>
              <w:rPr>
                <w:rFonts w:ascii="Merriweather" w:hAnsi="Merriweather"/>
                <w:sz w:val="16"/>
              </w:rPr>
              <w:t>Grupo de Trabalho sobre Saúde Infantil (2024).</w:t>
            </w:r>
          </w:p>
          <w:p w14:paraId="28F35BD6" w14:textId="17B0D21C" w:rsidR="00F01150" w:rsidRDefault="00000000">
            <w:pPr>
              <w:numPr>
                <w:ilvl w:val="0"/>
                <w:numId w:val="4"/>
              </w:numPr>
              <w:spacing w:line="259" w:lineRule="auto"/>
              <w:rPr>
                <w:b/>
                <w:sz w:val="16"/>
                <w:szCs w:val="16"/>
              </w:rPr>
            </w:pPr>
            <w:hyperlink r:id="rId29" w:history="1">
              <w:r>
                <w:rPr>
                  <w:rStyle w:val="Hiperligao"/>
                  <w:rFonts w:ascii="Merriweather" w:hAnsi="Merriweather"/>
                  <w:b/>
                  <w:sz w:val="16"/>
                </w:rPr>
                <w:t>Modelo de Plano da CSA</w:t>
              </w:r>
            </w:hyperlink>
            <w:r>
              <w:rPr>
                <w:rFonts w:ascii="Merriweather" w:hAnsi="Merriweather"/>
                <w:b/>
                <w:sz w:val="16"/>
              </w:rPr>
              <w:t>.</w:t>
            </w:r>
            <w:r>
              <w:rPr>
                <w:rFonts w:ascii="Merriweather" w:hAnsi="Merriweather"/>
                <w:sz w:val="16"/>
              </w:rPr>
              <w:t xml:space="preserve"> Grupo de Trabalho sobre Saúde Infantil (2024).</w:t>
            </w:r>
          </w:p>
        </w:tc>
      </w:tr>
    </w:tbl>
    <w:p w14:paraId="59A3CE4D" w14:textId="77777777" w:rsidR="00F01150" w:rsidRDefault="00F01150">
      <w:pPr>
        <w:rPr>
          <w:rFonts w:ascii="Merriweather" w:eastAsia="Merriweather" w:hAnsi="Merriweather" w:cs="Merriweather"/>
        </w:rPr>
      </w:pPr>
    </w:p>
    <w:p w14:paraId="7C2E53E2" w14:textId="77777777" w:rsidR="00F01150" w:rsidRDefault="00817E65">
      <w:pPr>
        <w:rPr>
          <w:rFonts w:ascii="Merriweather" w:eastAsia="Merriweather" w:hAnsi="Merriweather" w:cs="Merriweather"/>
        </w:rPr>
      </w:pPr>
      <w:r>
        <w:t xml:space="preserve">Para obter recursos e ferramentas adicionais para apoiar as </w:t>
      </w:r>
      <w:proofErr w:type="spellStart"/>
      <w:r>
        <w:t>actividades</w:t>
      </w:r>
      <w:proofErr w:type="spellEnd"/>
      <w:r>
        <w:t xml:space="preserve"> de Planificação e de Cálculo de Custos, consulte a secção</w:t>
      </w:r>
      <w:r>
        <w:rPr>
          <w:rFonts w:ascii="Merriweather" w:hAnsi="Merriweather"/>
        </w:rPr>
        <w:t xml:space="preserve"> </w:t>
      </w:r>
      <w:hyperlink r:id="rId30">
        <w:r>
          <w:rPr>
            <w:rFonts w:ascii="Merriweather" w:hAnsi="Merriweather"/>
            <w:color w:val="1155CC"/>
            <w:u w:val="single"/>
          </w:rPr>
          <w:t>Kit de Ferramentas da CSA para a Planificação e Cálculo de Custos</w:t>
        </w:r>
      </w:hyperlink>
      <w:r>
        <w:rPr>
          <w:rFonts w:ascii="Merriweather" w:hAnsi="Merriweather"/>
        </w:rPr>
        <w:t>.</w:t>
      </w:r>
    </w:p>
    <w:p w14:paraId="1855053B" w14:textId="77777777" w:rsidR="00F01150" w:rsidRDefault="00817E65">
      <w:pPr>
        <w:rPr>
          <w:rFonts w:ascii="Merriweather" w:eastAsia="Merriweather" w:hAnsi="Merriweather" w:cs="Merriweather"/>
        </w:rPr>
      </w:pPr>
      <w:r>
        <w:rPr>
          <w:noProof/>
        </w:rPr>
        <w:drawing>
          <wp:anchor distT="114300" distB="114300" distL="114300" distR="114300" simplePos="0" relativeHeight="251661312" behindDoc="0" locked="0" layoutInCell="1" hidden="0" allowOverlap="1" wp14:anchorId="53B16EC1" wp14:editId="58F2CD8F">
            <wp:simplePos x="0" y="0"/>
            <wp:positionH relativeFrom="column">
              <wp:posOffset>19051</wp:posOffset>
            </wp:positionH>
            <wp:positionV relativeFrom="paragraph">
              <wp:posOffset>220993</wp:posOffset>
            </wp:positionV>
            <wp:extent cx="566928" cy="52913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66928" cy="529133"/>
                    </a:xfrm>
                    <a:prstGeom prst="rect">
                      <a:avLst/>
                    </a:prstGeom>
                    <a:ln/>
                  </pic:spPr>
                </pic:pic>
              </a:graphicData>
            </a:graphic>
          </wp:anchor>
        </w:drawing>
      </w:r>
    </w:p>
    <w:p w14:paraId="10B6734A" w14:textId="77777777" w:rsidR="00F01150" w:rsidRDefault="00F01150">
      <w:pPr>
        <w:rPr>
          <w:rFonts w:ascii="Merriweather" w:eastAsia="Merriweather" w:hAnsi="Merriweather" w:cs="Merriweather"/>
          <w:b/>
          <w:sz w:val="24"/>
          <w:szCs w:val="24"/>
        </w:rPr>
      </w:pPr>
    </w:p>
    <w:p w14:paraId="4271A2F8" w14:textId="77777777" w:rsidR="00F01150" w:rsidRDefault="00817E65">
      <w:pPr>
        <w:rPr>
          <w:rFonts w:ascii="Merriweather" w:eastAsia="Merriweather" w:hAnsi="Merriweather" w:cs="Merriweather"/>
          <w:b/>
          <w:sz w:val="24"/>
          <w:szCs w:val="24"/>
        </w:rPr>
      </w:pPr>
      <w:r>
        <w:rPr>
          <w:rFonts w:ascii="Merriweather" w:hAnsi="Merriweather"/>
          <w:b/>
          <w:sz w:val="24"/>
        </w:rPr>
        <w:t>Implementação</w:t>
      </w:r>
    </w:p>
    <w:p w14:paraId="1C85C9B4" w14:textId="77777777" w:rsidR="00F01150" w:rsidRDefault="00F01150">
      <w:pPr>
        <w:rPr>
          <w:rFonts w:ascii="Merriweather" w:eastAsia="Merriweather" w:hAnsi="Merriweather" w:cs="Merriweather"/>
        </w:rPr>
      </w:pPr>
    </w:p>
    <w:p w14:paraId="5397CE6A" w14:textId="77777777" w:rsidR="00F01150" w:rsidRDefault="00F01150">
      <w:pPr>
        <w:rPr>
          <w:rFonts w:ascii="Merriweather" w:eastAsia="Merriweather" w:hAnsi="Merriweather" w:cs="Merriweather"/>
        </w:rPr>
      </w:pPr>
    </w:p>
    <w:p w14:paraId="01D6920D" w14:textId="025AAC53" w:rsidR="00F01150" w:rsidRPr="00125F2B" w:rsidRDefault="00817E65">
      <w:pPr>
        <w:rPr>
          <w:rFonts w:ascii="Merriweather" w:eastAsia="Merriweather" w:hAnsi="Merriweather" w:cs="Merriweather"/>
          <w:sz w:val="20"/>
          <w:szCs w:val="20"/>
        </w:rPr>
      </w:pPr>
      <w:r>
        <w:rPr>
          <w:rFonts w:ascii="Merriweather" w:hAnsi="Merriweather"/>
          <w:highlight w:val="white"/>
        </w:rPr>
        <w:t xml:space="preserve">Existem várias componentes essenciais para garantir que as </w:t>
      </w:r>
      <w:proofErr w:type="spellStart"/>
      <w:r>
        <w:rPr>
          <w:rFonts w:ascii="Merriweather" w:hAnsi="Merriweather"/>
          <w:highlight w:val="white"/>
        </w:rPr>
        <w:t>actividades</w:t>
      </w:r>
      <w:proofErr w:type="spellEnd"/>
      <w:r>
        <w:rPr>
          <w:rFonts w:ascii="Merriweather" w:hAnsi="Merriweather"/>
          <w:highlight w:val="white"/>
        </w:rPr>
        <w:t xml:space="preserve"> sejam realizadas e implementadas eficazmente para reduzir a mortalidade infantil. Coordenação e advocacia contínuas para a saúde infantil a nível nacional e </w:t>
      </w:r>
      <w:proofErr w:type="spellStart"/>
      <w:r>
        <w:rPr>
          <w:rFonts w:ascii="Merriweather" w:hAnsi="Merriweather"/>
          <w:highlight w:val="white"/>
        </w:rPr>
        <w:t>sub-nacional</w:t>
      </w:r>
      <w:proofErr w:type="spellEnd"/>
      <w:r>
        <w:rPr>
          <w:rFonts w:ascii="Merriweather" w:hAnsi="Merriweather"/>
          <w:highlight w:val="white"/>
        </w:rPr>
        <w:t xml:space="preserve">; garantia de recursos suficientes (humanos, financeiros e materiais) e gestão da sua utilização eficaz para que as </w:t>
      </w:r>
      <w:proofErr w:type="spellStart"/>
      <w:r>
        <w:rPr>
          <w:rFonts w:ascii="Merriweather" w:hAnsi="Merriweather"/>
          <w:highlight w:val="white"/>
        </w:rPr>
        <w:t>actividades</w:t>
      </w:r>
      <w:proofErr w:type="spellEnd"/>
      <w:r>
        <w:rPr>
          <w:rFonts w:ascii="Merriweather" w:hAnsi="Merriweather"/>
          <w:highlight w:val="white"/>
        </w:rPr>
        <w:t xml:space="preserve"> possam ser realizadas de acordo com o planificado; criação de um ambiente de supervisão favorável para motivar o pessoal e garantir cuidados de qualidade; envolvimento adequado das comunidades para criar sensibilização e procura de serviços de saúde; e acompanhamento dos progressos na implementação através da análise dos dados recolhidos regularmente. </w:t>
      </w:r>
    </w:p>
    <w:p w14:paraId="1FADB286" w14:textId="77777777" w:rsidR="00F01150" w:rsidRPr="00125F2B" w:rsidRDefault="00F01150">
      <w:pPr>
        <w:rPr>
          <w:rFonts w:ascii="Merriweather" w:eastAsia="Merriweather" w:hAnsi="Merriweather" w:cs="Merriweather"/>
          <w:b/>
        </w:rPr>
      </w:pPr>
    </w:p>
    <w:p w14:paraId="65A68231" w14:textId="77777777" w:rsidR="00F01150" w:rsidRDefault="00817E65">
      <w:pPr>
        <w:rPr>
          <w:rFonts w:ascii="Merriweather" w:eastAsia="Merriweather" w:hAnsi="Merriweather" w:cs="Merriweather"/>
          <w:b/>
          <w:i/>
        </w:rPr>
      </w:pPr>
      <w:r>
        <w:rPr>
          <w:rFonts w:ascii="Merriweather" w:hAnsi="Merriweather"/>
          <w:b/>
          <w:color w:val="645DC7"/>
        </w:rPr>
        <w:t xml:space="preserve">Principais </w:t>
      </w:r>
      <w:proofErr w:type="spellStart"/>
      <w:r>
        <w:rPr>
          <w:rFonts w:ascii="Merriweather" w:hAnsi="Merriweather"/>
          <w:b/>
          <w:color w:val="645DC7"/>
        </w:rPr>
        <w:t>actividades</w:t>
      </w:r>
      <w:proofErr w:type="spellEnd"/>
      <w:r>
        <w:rPr>
          <w:rFonts w:ascii="Merriweather" w:hAnsi="Merriweather"/>
          <w:b/>
          <w:color w:val="645DC7"/>
        </w:rPr>
        <w:t>:</w:t>
      </w:r>
    </w:p>
    <w:p w14:paraId="6BD7384B" w14:textId="33CB25D4" w:rsidR="00F01150" w:rsidRDefault="00817E65" w:rsidP="00125F2B">
      <w:pPr>
        <w:numPr>
          <w:ilvl w:val="0"/>
          <w:numId w:val="16"/>
        </w:numPr>
        <w:ind w:left="720"/>
        <w:rPr>
          <w:rFonts w:ascii="Merriweather" w:eastAsia="Merriweather" w:hAnsi="Merriweather" w:cs="Merriweather"/>
        </w:rPr>
      </w:pPr>
      <w:r>
        <w:rPr>
          <w:rFonts w:ascii="Merriweather" w:hAnsi="Merriweather"/>
        </w:rPr>
        <w:t xml:space="preserve">Divulgação do plano de CSA a nível nacional e </w:t>
      </w:r>
      <w:proofErr w:type="spellStart"/>
      <w:r>
        <w:rPr>
          <w:rFonts w:ascii="Merriweather" w:hAnsi="Merriweather"/>
        </w:rPr>
        <w:t>sub-nacional</w:t>
      </w:r>
      <w:proofErr w:type="spellEnd"/>
    </w:p>
    <w:p w14:paraId="7F0D6E7D" w14:textId="77777777" w:rsidR="00125F2B" w:rsidRDefault="00125F2B" w:rsidP="00125F2B">
      <w:pPr>
        <w:rPr>
          <w:rFonts w:ascii="Merriweather" w:eastAsia="Merriweather" w:hAnsi="Merriweather" w:cs="Merriweather"/>
        </w:rPr>
      </w:pPr>
    </w:p>
    <w:p w14:paraId="66DBA07A" w14:textId="77777777" w:rsidR="00125F2B" w:rsidRPr="004467BE" w:rsidRDefault="00125F2B" w:rsidP="00125F2B">
      <w:pPr>
        <w:rPr>
          <w:rFonts w:ascii="Merriweather" w:eastAsia="Merriweather" w:hAnsi="Merriweather" w:cs="Merriweather"/>
        </w:rPr>
      </w:pPr>
    </w:p>
    <w:p w14:paraId="7E33DDA3" w14:textId="77777777" w:rsidR="00125F2B" w:rsidRPr="00125F2B" w:rsidRDefault="00817E65" w:rsidP="00125F2B">
      <w:pPr>
        <w:numPr>
          <w:ilvl w:val="0"/>
          <w:numId w:val="16"/>
        </w:numPr>
        <w:ind w:left="720"/>
        <w:rPr>
          <w:rFonts w:ascii="Merriweather" w:eastAsia="Merriweather" w:hAnsi="Merriweather" w:cs="Merriweather"/>
        </w:rPr>
      </w:pPr>
      <w:r>
        <w:rPr>
          <w:rFonts w:ascii="Merriweather" w:hAnsi="Merriweather"/>
          <w:highlight w:val="white"/>
        </w:rPr>
        <w:t xml:space="preserve">Identificar e envolver as partes interessadas </w:t>
      </w:r>
      <w:proofErr w:type="spellStart"/>
      <w:r>
        <w:rPr>
          <w:rFonts w:ascii="Merriweather" w:hAnsi="Merriweather"/>
          <w:highlight w:val="white"/>
        </w:rPr>
        <w:t>sub-nacionais</w:t>
      </w:r>
      <w:proofErr w:type="spellEnd"/>
      <w:r>
        <w:rPr>
          <w:rFonts w:ascii="Merriweather" w:hAnsi="Merriweather"/>
          <w:highlight w:val="white"/>
        </w:rPr>
        <w:t xml:space="preserve"> responsáveis pelos programas de saúde infantil existentes no planificação e implementação adicionais a nível </w:t>
      </w:r>
      <w:proofErr w:type="spellStart"/>
      <w:r>
        <w:rPr>
          <w:rFonts w:ascii="Merriweather" w:hAnsi="Merriweather"/>
          <w:highlight w:val="white"/>
        </w:rPr>
        <w:t>sub-nacional</w:t>
      </w:r>
      <w:proofErr w:type="spellEnd"/>
      <w:r>
        <w:rPr>
          <w:rFonts w:ascii="Merriweather" w:hAnsi="Merriweather"/>
          <w:highlight w:val="white"/>
        </w:rPr>
        <w:t>.</w:t>
      </w:r>
    </w:p>
    <w:p w14:paraId="3A978B7C" w14:textId="0110D7CF" w:rsidR="00F01150" w:rsidRDefault="00817E65" w:rsidP="00125F2B">
      <w:pPr>
        <w:ind w:left="720"/>
        <w:rPr>
          <w:rFonts w:ascii="Merriweather" w:eastAsia="Merriweather" w:hAnsi="Merriweather" w:cs="Merriweather"/>
        </w:rPr>
      </w:pPr>
      <w:r>
        <w:rPr>
          <w:rFonts w:ascii="Merriweather" w:hAnsi="Merriweather"/>
          <w:highlight w:val="white"/>
        </w:rPr>
        <w:t xml:space="preserve"> </w:t>
      </w:r>
    </w:p>
    <w:p w14:paraId="5ABC09D0" w14:textId="131246DF" w:rsidR="004467BE" w:rsidRDefault="00817E65" w:rsidP="00125F2B">
      <w:pPr>
        <w:numPr>
          <w:ilvl w:val="0"/>
          <w:numId w:val="16"/>
        </w:numPr>
        <w:ind w:left="720"/>
        <w:rPr>
          <w:rFonts w:ascii="Merriweather" w:eastAsia="Merriweather" w:hAnsi="Merriweather" w:cs="Merriweather"/>
        </w:rPr>
      </w:pPr>
      <w:r>
        <w:rPr>
          <w:rFonts w:ascii="Merriweather" w:hAnsi="Merriweather"/>
        </w:rPr>
        <w:t xml:space="preserve">Realizar esforços contínuos de advocacia a nível </w:t>
      </w:r>
      <w:proofErr w:type="spellStart"/>
      <w:r>
        <w:rPr>
          <w:rFonts w:ascii="Merriweather" w:hAnsi="Merriweather"/>
        </w:rPr>
        <w:t>sub-nacional</w:t>
      </w:r>
      <w:proofErr w:type="spellEnd"/>
      <w:r>
        <w:rPr>
          <w:rFonts w:ascii="Merriweather" w:hAnsi="Merriweather"/>
        </w:rPr>
        <w:t>, nacional, regional e global.</w:t>
      </w:r>
    </w:p>
    <w:p w14:paraId="5D4981B1" w14:textId="77777777" w:rsidR="00125F2B" w:rsidRPr="00125F2B" w:rsidRDefault="00125F2B" w:rsidP="00125F2B">
      <w:pPr>
        <w:rPr>
          <w:rFonts w:ascii="Merriweather" w:eastAsia="Merriweather" w:hAnsi="Merriweather" w:cs="Merriweather"/>
        </w:rPr>
      </w:pPr>
    </w:p>
    <w:p w14:paraId="356C8773" w14:textId="591A20EA" w:rsidR="00F01150" w:rsidRDefault="00817E65" w:rsidP="00125F2B">
      <w:pPr>
        <w:numPr>
          <w:ilvl w:val="0"/>
          <w:numId w:val="16"/>
        </w:numPr>
        <w:ind w:left="720"/>
        <w:rPr>
          <w:rFonts w:ascii="Merriweather" w:eastAsia="Merriweather" w:hAnsi="Merriweather" w:cs="Merriweather"/>
        </w:rPr>
      </w:pPr>
      <w:r>
        <w:rPr>
          <w:rFonts w:ascii="Merriweather" w:hAnsi="Merriweather"/>
        </w:rPr>
        <w:t xml:space="preserve">Assegurar a existência de estruturas sólidas de governação e de coordenação a nível </w:t>
      </w:r>
      <w:proofErr w:type="spellStart"/>
      <w:r>
        <w:rPr>
          <w:rFonts w:ascii="Merriweather" w:hAnsi="Merriweather"/>
        </w:rPr>
        <w:t>sub-nacional</w:t>
      </w:r>
      <w:proofErr w:type="spellEnd"/>
      <w:r>
        <w:rPr>
          <w:rFonts w:ascii="Merriweather" w:hAnsi="Merriweather"/>
        </w:rPr>
        <w:t>.</w:t>
      </w:r>
    </w:p>
    <w:p w14:paraId="3A31909B" w14:textId="77777777" w:rsidR="00125F2B" w:rsidRPr="00125F2B" w:rsidRDefault="00125F2B" w:rsidP="00125F2B">
      <w:pPr>
        <w:rPr>
          <w:rFonts w:ascii="Merriweather" w:eastAsia="Merriweather" w:hAnsi="Merriweather" w:cs="Merriweather"/>
        </w:rPr>
      </w:pPr>
    </w:p>
    <w:p w14:paraId="1F9527A9" w14:textId="73F19D8F" w:rsidR="00F01150" w:rsidRPr="00125F2B" w:rsidRDefault="00817E65" w:rsidP="00125F2B">
      <w:pPr>
        <w:numPr>
          <w:ilvl w:val="0"/>
          <w:numId w:val="16"/>
        </w:numPr>
        <w:ind w:left="720"/>
        <w:rPr>
          <w:rFonts w:ascii="Merriweather" w:eastAsia="Merriweather" w:hAnsi="Merriweather" w:cs="Merriweather"/>
        </w:rPr>
      </w:pPr>
      <w:r>
        <w:rPr>
          <w:rFonts w:ascii="Merriweather" w:hAnsi="Merriweather"/>
        </w:rPr>
        <w:t>Preparar ou aperfeiçoar o plano de mobilização de recursos. Envolver o Ministério das Finanças, organizações de doadores, parceiros de implementação e outras organizações relevantes para compreender as necessidades de recursos e as lacunas.</w:t>
      </w:r>
    </w:p>
    <w:p w14:paraId="381F52EA" w14:textId="77777777" w:rsidR="00F01150" w:rsidRPr="00125F2B" w:rsidRDefault="00817E65" w:rsidP="00125F2B">
      <w:pPr>
        <w:numPr>
          <w:ilvl w:val="0"/>
          <w:numId w:val="17"/>
        </w:numPr>
        <w:rPr>
          <w:rFonts w:ascii="Merriweather" w:eastAsia="Merriweather" w:hAnsi="Merriweather" w:cs="Merriweather"/>
        </w:rPr>
      </w:pPr>
      <w:r>
        <w:rPr>
          <w:rFonts w:ascii="Merriweather" w:hAnsi="Merriweather"/>
        </w:rPr>
        <w:t xml:space="preserve">Colmatar as lacunas de investimento através da </w:t>
      </w:r>
      <w:proofErr w:type="spellStart"/>
      <w:r>
        <w:rPr>
          <w:rFonts w:ascii="Merriweather" w:hAnsi="Merriweather"/>
        </w:rPr>
        <w:t>optimização</w:t>
      </w:r>
      <w:proofErr w:type="spellEnd"/>
      <w:r>
        <w:rPr>
          <w:rFonts w:ascii="Merriweather" w:hAnsi="Merriweather"/>
        </w:rPr>
        <w:t xml:space="preserve"> dos recursos existentes </w:t>
      </w:r>
    </w:p>
    <w:p w14:paraId="24BCB0A7" w14:textId="77777777" w:rsidR="00F01150" w:rsidRDefault="00F01150">
      <w:pPr>
        <w:rPr>
          <w:rFonts w:ascii="Merriweather" w:eastAsia="Merriweather" w:hAnsi="Merriweather" w:cs="Merriweather"/>
          <w:color w:val="333333"/>
          <w:highlight w:val="white"/>
        </w:rPr>
      </w:pPr>
    </w:p>
    <w:tbl>
      <w:tblPr>
        <w:tblStyle w:val="ab"/>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B029661" w14:textId="77777777">
        <w:tc>
          <w:tcPr>
            <w:tcW w:w="8070" w:type="dxa"/>
            <w:shd w:val="clear" w:color="auto" w:fill="D9D2E9"/>
            <w:tcMar>
              <w:top w:w="100" w:type="dxa"/>
              <w:left w:w="100" w:type="dxa"/>
              <w:bottom w:w="100" w:type="dxa"/>
              <w:right w:w="100" w:type="dxa"/>
            </w:tcMar>
          </w:tcPr>
          <w:p w14:paraId="75D1C1BE" w14:textId="07498FA6" w:rsidR="00F01150" w:rsidRDefault="00817E65">
            <w:pPr>
              <w:numPr>
                <w:ilvl w:val="0"/>
                <w:numId w:val="4"/>
              </w:numPr>
              <w:spacing w:line="259" w:lineRule="auto"/>
              <w:rPr>
                <w:b/>
                <w:sz w:val="10"/>
                <w:szCs w:val="10"/>
              </w:rPr>
            </w:pPr>
            <w:r>
              <w:rPr>
                <w:rFonts w:ascii="Merriweather" w:hAnsi="Merriweather"/>
                <w:b/>
                <w:sz w:val="16"/>
              </w:rPr>
              <w:t xml:space="preserve">Ferramenta de orientação para a mobilização de recursos. </w:t>
            </w:r>
            <w:r>
              <w:rPr>
                <w:rFonts w:ascii="Merriweather" w:hAnsi="Merriweather"/>
                <w:sz w:val="16"/>
              </w:rPr>
              <w:t xml:space="preserve">Grupo de Trabalho sobre Saúde Infantil (2024). </w:t>
            </w:r>
            <w:r>
              <w:rPr>
                <w:rFonts w:ascii="Merriweather" w:hAnsi="Merriweather"/>
                <w:b/>
                <w:i/>
                <w:color w:val="FF0000"/>
                <w:sz w:val="16"/>
              </w:rPr>
              <w:t>A a</w:t>
            </w:r>
            <w:r w:rsidR="004D7F62">
              <w:rPr>
                <w:rFonts w:ascii="Merriweather" w:hAnsi="Merriweather"/>
                <w:b/>
                <w:i/>
                <w:color w:val="FF0000"/>
                <w:sz w:val="16"/>
              </w:rPr>
              <w:t>dicion</w:t>
            </w:r>
            <w:r>
              <w:rPr>
                <w:rFonts w:ascii="Merriweather" w:hAnsi="Merriweather"/>
                <w:b/>
                <w:i/>
                <w:color w:val="FF0000"/>
                <w:sz w:val="16"/>
              </w:rPr>
              <w:t>ar em breve.</w:t>
            </w:r>
          </w:p>
        </w:tc>
      </w:tr>
    </w:tbl>
    <w:p w14:paraId="7D4FC08E" w14:textId="77777777" w:rsidR="00F01150" w:rsidRDefault="00F01150">
      <w:pPr>
        <w:rPr>
          <w:rFonts w:ascii="Merriweather" w:eastAsia="Merriweather" w:hAnsi="Merriweather" w:cs="Merriweather"/>
        </w:rPr>
      </w:pPr>
    </w:p>
    <w:p w14:paraId="779B0610" w14:textId="77777777" w:rsidR="00F01150" w:rsidRDefault="00817E65">
      <w:pPr>
        <w:rPr>
          <w:rFonts w:ascii="Merriweather" w:eastAsia="Merriweather" w:hAnsi="Merriweather" w:cs="Merriweather"/>
        </w:rPr>
      </w:pPr>
      <w:r>
        <w:t xml:space="preserve">Para obter recursos e ferramentas adicionais para apoiar as </w:t>
      </w:r>
      <w:proofErr w:type="spellStart"/>
      <w:r>
        <w:t>actividades</w:t>
      </w:r>
      <w:proofErr w:type="spellEnd"/>
      <w:r>
        <w:t xml:space="preserve"> de implementação, consulte a secção</w:t>
      </w:r>
      <w:r>
        <w:rPr>
          <w:rFonts w:ascii="Merriweather" w:hAnsi="Merriweather"/>
        </w:rPr>
        <w:t xml:space="preserve"> </w:t>
      </w:r>
      <w:hyperlink r:id="rId32">
        <w:r>
          <w:rPr>
            <w:rFonts w:ascii="Merriweather" w:hAnsi="Merriweather"/>
            <w:color w:val="1155CC"/>
            <w:u w:val="single"/>
          </w:rPr>
          <w:t>Implementação do Kit de Ferramentas da CSA</w:t>
        </w:r>
      </w:hyperlink>
      <w:r>
        <w:rPr>
          <w:rFonts w:ascii="Merriweather" w:hAnsi="Merriweather"/>
        </w:rPr>
        <w:t>.</w:t>
      </w:r>
    </w:p>
    <w:p w14:paraId="11448508" w14:textId="77777777" w:rsidR="00F01150" w:rsidRDefault="00817E65">
      <w:pPr>
        <w:rPr>
          <w:rFonts w:ascii="Merriweather" w:eastAsia="Merriweather" w:hAnsi="Merriweather" w:cs="Merriweather"/>
        </w:rPr>
      </w:pPr>
      <w:r>
        <w:rPr>
          <w:noProof/>
        </w:rPr>
        <w:drawing>
          <wp:anchor distT="114300" distB="114300" distL="114300" distR="114300" simplePos="0" relativeHeight="251662336" behindDoc="0" locked="0" layoutInCell="1" hidden="0" allowOverlap="1" wp14:anchorId="75C4D2EB" wp14:editId="1ADC77C3">
            <wp:simplePos x="0" y="0"/>
            <wp:positionH relativeFrom="column">
              <wp:posOffset>19051</wp:posOffset>
            </wp:positionH>
            <wp:positionV relativeFrom="paragraph">
              <wp:posOffset>220993</wp:posOffset>
            </wp:positionV>
            <wp:extent cx="566928" cy="699211"/>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66928" cy="699211"/>
                    </a:xfrm>
                    <a:prstGeom prst="rect">
                      <a:avLst/>
                    </a:prstGeom>
                    <a:ln/>
                  </pic:spPr>
                </pic:pic>
              </a:graphicData>
            </a:graphic>
          </wp:anchor>
        </w:drawing>
      </w:r>
    </w:p>
    <w:p w14:paraId="0CB04912" w14:textId="77777777" w:rsidR="00F01150" w:rsidRDefault="00F01150">
      <w:pPr>
        <w:rPr>
          <w:rFonts w:ascii="Merriweather" w:eastAsia="Merriweather" w:hAnsi="Merriweather" w:cs="Merriweather"/>
          <w:b/>
          <w:sz w:val="24"/>
          <w:szCs w:val="24"/>
        </w:rPr>
      </w:pPr>
    </w:p>
    <w:p w14:paraId="61EFDDC0" w14:textId="77777777" w:rsidR="00F01150" w:rsidRDefault="00817E65">
      <w:pPr>
        <w:rPr>
          <w:rFonts w:ascii="Merriweather" w:eastAsia="Merriweather" w:hAnsi="Merriweather" w:cs="Merriweather"/>
          <w:b/>
          <w:sz w:val="24"/>
          <w:szCs w:val="24"/>
        </w:rPr>
      </w:pPr>
      <w:r>
        <w:rPr>
          <w:rFonts w:ascii="Merriweather" w:hAnsi="Merriweather"/>
          <w:b/>
          <w:sz w:val="24"/>
        </w:rPr>
        <w:t>Medir os Resultados e o Impacto</w:t>
      </w:r>
    </w:p>
    <w:p w14:paraId="4A1B0104" w14:textId="77777777" w:rsidR="00F01150" w:rsidRDefault="00F01150">
      <w:pPr>
        <w:rPr>
          <w:rFonts w:ascii="Merriweather" w:eastAsia="Merriweather" w:hAnsi="Merriweather" w:cs="Merriweather"/>
        </w:rPr>
      </w:pPr>
    </w:p>
    <w:p w14:paraId="0902D05F" w14:textId="77777777" w:rsidR="00F01150" w:rsidRDefault="00F01150">
      <w:pPr>
        <w:rPr>
          <w:rFonts w:ascii="Merriweather" w:eastAsia="Merriweather" w:hAnsi="Merriweather" w:cs="Merriweather"/>
        </w:rPr>
      </w:pPr>
    </w:p>
    <w:p w14:paraId="4C007ECA" w14:textId="5EF8306D" w:rsidR="00F01150" w:rsidRPr="00125F2B" w:rsidRDefault="00817E65">
      <w:pPr>
        <w:rPr>
          <w:rFonts w:ascii="Merriweather" w:eastAsia="Merriweather" w:hAnsi="Merriweather" w:cs="Merriweather"/>
          <w:sz w:val="20"/>
          <w:szCs w:val="20"/>
        </w:rPr>
      </w:pPr>
      <w:r>
        <w:rPr>
          <w:rFonts w:ascii="Merriweather" w:hAnsi="Merriweather"/>
          <w:highlight w:val="white"/>
        </w:rPr>
        <w:t xml:space="preserve">Uma componente essencial para a implementação de uma iniciativa de CSA bem-sucedida é a monitorização e avaliação eficazes. Isto pode ajudar os países a determinar se foram alcançados progressos em resultado das intervenções e a medir esses progressos em relação às normas e </w:t>
      </w:r>
      <w:proofErr w:type="spellStart"/>
      <w:r>
        <w:rPr>
          <w:rFonts w:ascii="Merriweather" w:hAnsi="Merriweather"/>
          <w:highlight w:val="white"/>
        </w:rPr>
        <w:t>objectivos</w:t>
      </w:r>
      <w:proofErr w:type="spellEnd"/>
      <w:r>
        <w:rPr>
          <w:rFonts w:ascii="Merriweather" w:hAnsi="Merriweather"/>
          <w:highlight w:val="white"/>
        </w:rPr>
        <w:t xml:space="preserve"> nacionais e globais. Um quadro de monitorização e avaliação da CSA, por vezes como parte de um quadro abrangente mais vasto para a RMNCAH, deve incluir a identificação de indicadores de saúde infantil relevantes; a identificação de fontes de dados para os indicadores; e a análise e comunicação de resultados para sustentar a melhoria das práticas.</w:t>
      </w:r>
    </w:p>
    <w:p w14:paraId="4A0CE0A7" w14:textId="77777777" w:rsidR="00F01150" w:rsidRDefault="00F01150">
      <w:pPr>
        <w:rPr>
          <w:rFonts w:ascii="Merriweather" w:eastAsia="Merriweather" w:hAnsi="Merriweather" w:cs="Merriweather"/>
        </w:rPr>
      </w:pPr>
    </w:p>
    <w:p w14:paraId="46D75738" w14:textId="77777777" w:rsidR="004D7F62" w:rsidRDefault="004D7F62">
      <w:pPr>
        <w:rPr>
          <w:rFonts w:ascii="Merriweather" w:hAnsi="Merriweather"/>
          <w:b/>
          <w:color w:val="645DC7"/>
        </w:rPr>
      </w:pPr>
    </w:p>
    <w:p w14:paraId="1F1C516B" w14:textId="77777777" w:rsidR="004D7F62" w:rsidRDefault="004D7F62">
      <w:pPr>
        <w:rPr>
          <w:rFonts w:ascii="Merriweather" w:hAnsi="Merriweather"/>
          <w:b/>
          <w:color w:val="645DC7"/>
        </w:rPr>
      </w:pPr>
    </w:p>
    <w:p w14:paraId="6B133544" w14:textId="4E39EBEA" w:rsidR="00F01150" w:rsidRDefault="00817E65">
      <w:pPr>
        <w:rPr>
          <w:rFonts w:ascii="Merriweather" w:hAnsi="Merriweather"/>
          <w:b/>
          <w:color w:val="645DC7"/>
        </w:rPr>
      </w:pPr>
      <w:r>
        <w:rPr>
          <w:rFonts w:ascii="Merriweather" w:hAnsi="Merriweather"/>
          <w:b/>
          <w:color w:val="645DC7"/>
        </w:rPr>
        <w:lastRenderedPageBreak/>
        <w:t xml:space="preserve">Principais </w:t>
      </w:r>
      <w:proofErr w:type="spellStart"/>
      <w:r>
        <w:rPr>
          <w:rFonts w:ascii="Merriweather" w:hAnsi="Merriweather"/>
          <w:b/>
          <w:color w:val="645DC7"/>
        </w:rPr>
        <w:t>actividades</w:t>
      </w:r>
      <w:proofErr w:type="spellEnd"/>
      <w:r>
        <w:rPr>
          <w:rFonts w:ascii="Merriweather" w:hAnsi="Merriweather"/>
          <w:b/>
          <w:color w:val="645DC7"/>
        </w:rPr>
        <w:t>:</w:t>
      </w:r>
    </w:p>
    <w:p w14:paraId="7D3E8435" w14:textId="77777777" w:rsidR="004D7F62" w:rsidRDefault="004D7F62">
      <w:pPr>
        <w:rPr>
          <w:rFonts w:ascii="Merriweather" w:eastAsia="Merriweather" w:hAnsi="Merriweather" w:cs="Merriweather"/>
          <w:b/>
        </w:rPr>
      </w:pPr>
    </w:p>
    <w:p w14:paraId="5AEF604C" w14:textId="2FA8E035" w:rsidR="00F01150" w:rsidRDefault="00817E65" w:rsidP="00125F2B">
      <w:pPr>
        <w:numPr>
          <w:ilvl w:val="0"/>
          <w:numId w:val="18"/>
        </w:numPr>
        <w:rPr>
          <w:rFonts w:ascii="Merriweather" w:eastAsia="Merriweather" w:hAnsi="Merriweather" w:cs="Merriweather"/>
        </w:rPr>
      </w:pPr>
      <w:r>
        <w:rPr>
          <w:rFonts w:ascii="Merriweather" w:hAnsi="Merriweather"/>
        </w:rPr>
        <w:t xml:space="preserve">Reforçar, rever ou desenvolver um quadro sólido de monitorização e avaliação para acompanhar os progressos das </w:t>
      </w:r>
      <w:proofErr w:type="spellStart"/>
      <w:r>
        <w:rPr>
          <w:rFonts w:ascii="Merriweather" w:hAnsi="Merriweather"/>
        </w:rPr>
        <w:t>actividades</w:t>
      </w:r>
      <w:proofErr w:type="spellEnd"/>
      <w:r>
        <w:rPr>
          <w:rFonts w:ascii="Merriweather" w:hAnsi="Merriweather"/>
        </w:rPr>
        <w:t xml:space="preserve"> de saúde infantil.</w:t>
      </w:r>
    </w:p>
    <w:p w14:paraId="2C4E2159" w14:textId="77777777" w:rsidR="00F01150" w:rsidRDefault="00F01150">
      <w:pPr>
        <w:rPr>
          <w:rFonts w:ascii="Merriweather" w:eastAsia="Merriweather" w:hAnsi="Merriweather" w:cs="Merriweather"/>
          <w:color w:val="333333"/>
          <w:highlight w:val="white"/>
        </w:rPr>
      </w:pPr>
    </w:p>
    <w:tbl>
      <w:tblPr>
        <w:tblStyle w:val="ac"/>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FFEF165" w14:textId="77777777">
        <w:tc>
          <w:tcPr>
            <w:tcW w:w="8070" w:type="dxa"/>
            <w:shd w:val="clear" w:color="auto" w:fill="D9D2E9"/>
            <w:tcMar>
              <w:top w:w="100" w:type="dxa"/>
              <w:left w:w="100" w:type="dxa"/>
              <w:bottom w:w="100" w:type="dxa"/>
              <w:right w:w="100" w:type="dxa"/>
            </w:tcMar>
          </w:tcPr>
          <w:p w14:paraId="6902157B" w14:textId="3C9D522C" w:rsidR="00F01150" w:rsidRPr="004467BE" w:rsidRDefault="00000000" w:rsidP="004467BE">
            <w:pPr>
              <w:numPr>
                <w:ilvl w:val="0"/>
                <w:numId w:val="4"/>
              </w:numPr>
              <w:spacing w:line="259" w:lineRule="auto"/>
              <w:rPr>
                <w:b/>
                <w:sz w:val="16"/>
                <w:szCs w:val="16"/>
              </w:rPr>
            </w:pPr>
            <w:hyperlink r:id="rId34" w:history="1">
              <w:r>
                <w:rPr>
                  <w:rStyle w:val="Hiperligao"/>
                  <w:rFonts w:ascii="Merriweather" w:hAnsi="Merriweather"/>
                  <w:b/>
                  <w:sz w:val="16"/>
                </w:rPr>
                <w:t>Quadro de Resultados da CSA</w:t>
              </w:r>
            </w:hyperlink>
            <w:r>
              <w:rPr>
                <w:rFonts w:ascii="Merriweather" w:hAnsi="Merriweather"/>
                <w:b/>
                <w:sz w:val="16"/>
              </w:rPr>
              <w:t>.</w:t>
            </w:r>
            <w:r>
              <w:rPr>
                <w:rFonts w:ascii="Merriweather" w:hAnsi="Merriweather"/>
                <w:sz w:val="16"/>
              </w:rPr>
              <w:t xml:space="preserve"> Grupo de Trabalho sobre Saúde Infantil (2024). </w:t>
            </w:r>
          </w:p>
        </w:tc>
      </w:tr>
    </w:tbl>
    <w:p w14:paraId="59E63C57" w14:textId="77777777" w:rsidR="00125F2B" w:rsidRDefault="00125F2B" w:rsidP="00125F2B">
      <w:pPr>
        <w:ind w:left="720"/>
        <w:rPr>
          <w:rFonts w:ascii="Merriweather" w:eastAsia="Merriweather" w:hAnsi="Merriweather" w:cs="Merriweather"/>
        </w:rPr>
      </w:pPr>
    </w:p>
    <w:p w14:paraId="2C90C6F5" w14:textId="77777777" w:rsidR="00125F2B" w:rsidRDefault="00125F2B" w:rsidP="00125F2B">
      <w:pPr>
        <w:ind w:left="720"/>
        <w:rPr>
          <w:rFonts w:ascii="Merriweather" w:eastAsia="Merriweather" w:hAnsi="Merriweather" w:cs="Merriweather"/>
        </w:rPr>
      </w:pPr>
    </w:p>
    <w:p w14:paraId="7B1E34D6" w14:textId="6D353074" w:rsidR="00F01150" w:rsidRPr="00125F2B" w:rsidRDefault="00817E65" w:rsidP="00125F2B">
      <w:pPr>
        <w:numPr>
          <w:ilvl w:val="0"/>
          <w:numId w:val="19"/>
        </w:numPr>
        <w:rPr>
          <w:rFonts w:ascii="Merriweather" w:eastAsia="Merriweather" w:hAnsi="Merriweather" w:cs="Merriweather"/>
        </w:rPr>
      </w:pPr>
      <w:r>
        <w:rPr>
          <w:rFonts w:ascii="Merriweather" w:hAnsi="Merriweather"/>
        </w:rPr>
        <w:t xml:space="preserve">Reforçar os sistemas de medição, monitorização e apresentação de relatórios sobre os serviços de saúde infantil a nível nacional e </w:t>
      </w:r>
      <w:proofErr w:type="spellStart"/>
      <w:r>
        <w:rPr>
          <w:rFonts w:ascii="Merriweather" w:hAnsi="Merriweather"/>
        </w:rPr>
        <w:t>sub-nacional</w:t>
      </w:r>
      <w:proofErr w:type="spellEnd"/>
      <w:r>
        <w:rPr>
          <w:rFonts w:ascii="Merriweather" w:hAnsi="Merriweather"/>
        </w:rPr>
        <w:t>.</w:t>
      </w:r>
    </w:p>
    <w:p w14:paraId="50DDFF3C" w14:textId="77777777" w:rsidR="00F01150" w:rsidRPr="00125F2B" w:rsidRDefault="00F01150">
      <w:pPr>
        <w:rPr>
          <w:rFonts w:ascii="Merriweather" w:eastAsia="Merriweather" w:hAnsi="Merriweather" w:cs="Merriweather"/>
        </w:rPr>
      </w:pPr>
    </w:p>
    <w:p w14:paraId="6F95869F" w14:textId="6F6A7009" w:rsidR="00F01150" w:rsidRPr="00125F2B" w:rsidRDefault="00817E65" w:rsidP="00125F2B">
      <w:pPr>
        <w:numPr>
          <w:ilvl w:val="0"/>
          <w:numId w:val="19"/>
        </w:numPr>
        <w:rPr>
          <w:rFonts w:ascii="Merriweather" w:eastAsia="Merriweather" w:hAnsi="Merriweather" w:cs="Merriweather"/>
        </w:rPr>
      </w:pPr>
      <w:r>
        <w:rPr>
          <w:rFonts w:ascii="Merriweather" w:hAnsi="Merriweather"/>
        </w:rPr>
        <w:t>Medir os progressos, acompanhar as etapas e analisar e resolver eventuais lacunas na implementação.</w:t>
      </w:r>
    </w:p>
    <w:p w14:paraId="565A7C32" w14:textId="77777777" w:rsidR="00F01150" w:rsidRDefault="00F01150">
      <w:pPr>
        <w:rPr>
          <w:rFonts w:ascii="Merriweather" w:eastAsia="Merriweather" w:hAnsi="Merriweather" w:cs="Merriweather"/>
          <w:color w:val="333333"/>
          <w:highlight w:val="white"/>
        </w:rPr>
      </w:pPr>
    </w:p>
    <w:tbl>
      <w:tblPr>
        <w:tblStyle w:val="ad"/>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751AA357" w14:textId="77777777">
        <w:tc>
          <w:tcPr>
            <w:tcW w:w="8070" w:type="dxa"/>
            <w:shd w:val="clear" w:color="auto" w:fill="D9D2E9"/>
            <w:tcMar>
              <w:top w:w="100" w:type="dxa"/>
              <w:left w:w="100" w:type="dxa"/>
              <w:bottom w:w="100" w:type="dxa"/>
              <w:right w:w="100" w:type="dxa"/>
            </w:tcMar>
          </w:tcPr>
          <w:p w14:paraId="685B5C82" w14:textId="77777777" w:rsidR="00F01150" w:rsidRDefault="00000000">
            <w:pPr>
              <w:widowControl w:val="0"/>
              <w:numPr>
                <w:ilvl w:val="0"/>
                <w:numId w:val="4"/>
              </w:numPr>
              <w:spacing w:after="160" w:line="240" w:lineRule="auto"/>
              <w:rPr>
                <w:sz w:val="16"/>
                <w:szCs w:val="16"/>
              </w:rPr>
            </w:pPr>
            <w:hyperlink r:id="rId35">
              <w:r>
                <w:rPr>
                  <w:rFonts w:ascii="Merriweather" w:hAnsi="Merriweather"/>
                  <w:b/>
                  <w:color w:val="0000FF"/>
                  <w:sz w:val="16"/>
                  <w:u w:val="single"/>
                </w:rPr>
                <w:t xml:space="preserve">Guia para a realização de análises de programas nacionais e </w:t>
              </w:r>
              <w:proofErr w:type="spellStart"/>
              <w:r>
                <w:rPr>
                  <w:rFonts w:ascii="Merriweather" w:hAnsi="Merriweather"/>
                  <w:b/>
                  <w:color w:val="0000FF"/>
                  <w:sz w:val="16"/>
                  <w:u w:val="single"/>
                </w:rPr>
                <w:t>sub-nacionais</w:t>
              </w:r>
              <w:proofErr w:type="spellEnd"/>
              <w:r>
                <w:rPr>
                  <w:rFonts w:ascii="Merriweather" w:hAnsi="Merriweather"/>
                  <w:b/>
                  <w:color w:val="0000FF"/>
                  <w:sz w:val="16"/>
                  <w:u w:val="single"/>
                </w:rPr>
                <w:t xml:space="preserve"> da saúde materna, neonatal, infantil e do adolescente</w:t>
              </w:r>
            </w:hyperlink>
            <w:r>
              <w:rPr>
                <w:rFonts w:ascii="Merriweather" w:hAnsi="Merriweather"/>
                <w:b/>
                <w:color w:val="0000FF"/>
                <w:sz w:val="16"/>
              </w:rPr>
              <w:t>.</w:t>
            </w:r>
            <w:r>
              <w:rPr>
                <w:rFonts w:ascii="Merriweather" w:hAnsi="Merriweather"/>
                <w:b/>
                <w:sz w:val="16"/>
              </w:rPr>
              <w:t xml:space="preserve"> </w:t>
            </w:r>
            <w:r>
              <w:rPr>
                <w:rFonts w:ascii="Merriweather" w:hAnsi="Merriweather"/>
                <w:sz w:val="16"/>
              </w:rPr>
              <w:t>Organização Mundial da Saúde (2024).</w:t>
            </w:r>
          </w:p>
          <w:p w14:paraId="13F8D8F9" w14:textId="77777777" w:rsidR="00F01150" w:rsidRDefault="00000000">
            <w:pPr>
              <w:widowControl w:val="0"/>
              <w:numPr>
                <w:ilvl w:val="0"/>
                <w:numId w:val="4"/>
              </w:numPr>
              <w:spacing w:after="160" w:line="240" w:lineRule="auto"/>
              <w:rPr>
                <w:sz w:val="16"/>
                <w:szCs w:val="16"/>
              </w:rPr>
            </w:pPr>
            <w:hyperlink r:id="rId36">
              <w:r>
                <w:rPr>
                  <w:rFonts w:ascii="Merriweather" w:hAnsi="Merriweather"/>
                  <w:b/>
                  <w:color w:val="0000FF"/>
                  <w:sz w:val="16"/>
                  <w:u w:val="single"/>
                </w:rPr>
                <w:t xml:space="preserve">Guia dos facilitadores para a realização de análises de programas nacionais e </w:t>
              </w:r>
              <w:proofErr w:type="spellStart"/>
              <w:r>
                <w:rPr>
                  <w:rFonts w:ascii="Merriweather" w:hAnsi="Merriweather"/>
                  <w:b/>
                  <w:color w:val="0000FF"/>
                  <w:sz w:val="16"/>
                  <w:u w:val="single"/>
                </w:rPr>
                <w:t>sub-nacionais</w:t>
              </w:r>
              <w:proofErr w:type="spellEnd"/>
              <w:r>
                <w:rPr>
                  <w:rFonts w:ascii="Merriweather" w:hAnsi="Merriweather"/>
                  <w:b/>
                  <w:color w:val="0000FF"/>
                  <w:sz w:val="16"/>
                  <w:u w:val="single"/>
                </w:rPr>
                <w:t xml:space="preserve"> da saúde materna, neonatal, infantil e do adolescente</w:t>
              </w:r>
            </w:hyperlink>
            <w:r>
              <w:rPr>
                <w:rFonts w:ascii="Merriweather" w:hAnsi="Merriweather"/>
                <w:b/>
                <w:sz w:val="16"/>
              </w:rPr>
              <w:t xml:space="preserve">. </w:t>
            </w:r>
            <w:r>
              <w:rPr>
                <w:rFonts w:ascii="Merriweather" w:hAnsi="Merriweather"/>
                <w:sz w:val="16"/>
              </w:rPr>
              <w:t>Organização Mundial da Saúde (2024).</w:t>
            </w:r>
          </w:p>
          <w:p w14:paraId="4CA87198" w14:textId="2B7BFA78" w:rsidR="00F01150" w:rsidRDefault="00000000">
            <w:pPr>
              <w:numPr>
                <w:ilvl w:val="0"/>
                <w:numId w:val="4"/>
              </w:numPr>
              <w:spacing w:line="259" w:lineRule="auto"/>
              <w:rPr>
                <w:b/>
                <w:sz w:val="16"/>
                <w:szCs w:val="16"/>
              </w:rPr>
            </w:pPr>
            <w:hyperlink r:id="rId37">
              <w:r>
                <w:rPr>
                  <w:rFonts w:ascii="Merriweather" w:hAnsi="Merriweather"/>
                  <w:b/>
                  <w:color w:val="0000FF"/>
                  <w:sz w:val="16"/>
                  <w:u w:val="single"/>
                </w:rPr>
                <w:t>Ferramenta de análise dos dados do programa de saúde materna, neonatal, infantil e do adolescente</w:t>
              </w:r>
            </w:hyperlink>
            <w:r>
              <w:rPr>
                <w:rFonts w:ascii="Merriweather" w:hAnsi="Merriweather"/>
                <w:b/>
                <w:color w:val="0000FF"/>
                <w:sz w:val="16"/>
                <w:u w:val="single"/>
              </w:rPr>
              <w:t xml:space="preserve">. </w:t>
            </w:r>
            <w:r>
              <w:rPr>
                <w:rFonts w:ascii="Merriweather" w:hAnsi="Merriweather"/>
                <w:sz w:val="16"/>
              </w:rPr>
              <w:t xml:space="preserve">Organização Mundial da Saúde (2024). </w:t>
            </w:r>
          </w:p>
        </w:tc>
      </w:tr>
    </w:tbl>
    <w:p w14:paraId="19F9399E" w14:textId="77777777" w:rsidR="00F01150" w:rsidRDefault="00F01150">
      <w:pPr>
        <w:rPr>
          <w:rFonts w:ascii="Merriweather" w:eastAsia="Merriweather" w:hAnsi="Merriweather" w:cs="Merriweather"/>
        </w:rPr>
      </w:pPr>
    </w:p>
    <w:p w14:paraId="0924235D" w14:textId="77777777" w:rsidR="00F01150" w:rsidRDefault="00817E65">
      <w:pPr>
        <w:rPr>
          <w:rFonts w:ascii="Merriweather" w:eastAsia="Merriweather" w:hAnsi="Merriweather" w:cs="Merriweather"/>
          <w:sz w:val="24"/>
          <w:szCs w:val="24"/>
        </w:rPr>
      </w:pPr>
      <w:r>
        <w:t xml:space="preserve">Para obter recursos e ferramentas adicionais para apoiar as </w:t>
      </w:r>
      <w:proofErr w:type="spellStart"/>
      <w:r>
        <w:t>actividades</w:t>
      </w:r>
      <w:proofErr w:type="spellEnd"/>
      <w:r>
        <w:t xml:space="preserve"> de Medição dos Resultados e do Impacto, consulte a secção </w:t>
      </w:r>
      <w:hyperlink r:id="rId38">
        <w:r>
          <w:rPr>
            <w:rFonts w:ascii="Merriweather" w:hAnsi="Merriweather"/>
            <w:color w:val="1155CC"/>
            <w:u w:val="single"/>
          </w:rPr>
          <w:t xml:space="preserve">Kit de Ferramentas da CSA para a Medição dos Resultados e do Impacto </w:t>
        </w:r>
      </w:hyperlink>
      <w:r>
        <w:rPr>
          <w:rFonts w:ascii="Merriweather" w:hAnsi="Merriweather"/>
        </w:rPr>
        <w:t>.</w:t>
      </w:r>
    </w:p>
    <w:sectPr w:rsidR="00F0115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BADA23" w14:textId="77777777" w:rsidR="00B353A6" w:rsidRDefault="00B353A6">
      <w:pPr>
        <w:spacing w:line="240" w:lineRule="auto"/>
      </w:pPr>
      <w:r>
        <w:separator/>
      </w:r>
    </w:p>
  </w:endnote>
  <w:endnote w:type="continuationSeparator" w:id="0">
    <w:p w14:paraId="1E1CAD8D" w14:textId="77777777" w:rsidR="00B353A6" w:rsidRDefault="00B353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3341A592-C3F7-4287-AD30-DBFD33549C17}"/>
  </w:font>
  <w:font w:name="Merriweather">
    <w:charset w:val="00"/>
    <w:family w:val="auto"/>
    <w:pitch w:val="variable"/>
    <w:sig w:usb0="20000207" w:usb1="00000002" w:usb2="00000000" w:usb3="00000000" w:csb0="00000197" w:csb1="00000000"/>
    <w:embedRegular r:id="rId2" w:fontKey="{FA52A99B-FC59-4A28-822A-2353C3D11BD6}"/>
    <w:embedBold r:id="rId3" w:fontKey="{60455D73-8F4B-4333-BC9F-688752C2E058}"/>
    <w:embedItalic r:id="rId4" w:fontKey="{388AD215-B926-4D81-A64A-8CDD4020EEEE}"/>
    <w:embedBoldItalic r:id="rId5" w:fontKey="{20A76D4E-91F7-4D86-995A-214D212D19CA}"/>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6" w:fontKey="{F9C03495-6124-41EF-9AC9-258125380E24}"/>
  </w:font>
  <w:font w:name="Cambria">
    <w:panose1 w:val="02040503050406030204"/>
    <w:charset w:val="00"/>
    <w:family w:val="roman"/>
    <w:pitch w:val="variable"/>
    <w:sig w:usb0="E00006FF" w:usb1="420024FF" w:usb2="02000000" w:usb3="00000000" w:csb0="0000019F" w:csb1="00000000"/>
    <w:embedRegular r:id="rId7" w:fontKey="{C4C56C87-1446-4D79-B003-4D1D1A4E6B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DC3F4" w14:textId="77777777" w:rsidR="00034A69" w:rsidRDefault="00034A69">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6A4E" w14:textId="77777777" w:rsidR="00F01150" w:rsidRDefault="00817E65">
    <w:pPr>
      <w:jc w:val="right"/>
    </w:pPr>
    <w:r>
      <w:fldChar w:fldCharType="begin"/>
    </w:r>
    <w:r>
      <w:instrText>PAGE</w:instrText>
    </w:r>
    <w:r>
      <w:fldChar w:fldCharType="separate"/>
    </w:r>
    <w:r w:rsidR="004467BE">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45785" w14:textId="77777777" w:rsidR="00F01150" w:rsidRDefault="00F011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228315" w14:textId="77777777" w:rsidR="00B353A6" w:rsidRDefault="00B353A6">
      <w:pPr>
        <w:spacing w:line="240" w:lineRule="auto"/>
      </w:pPr>
      <w:r>
        <w:separator/>
      </w:r>
    </w:p>
  </w:footnote>
  <w:footnote w:type="continuationSeparator" w:id="0">
    <w:p w14:paraId="62618236" w14:textId="77777777" w:rsidR="00B353A6" w:rsidRDefault="00B353A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9462" w14:textId="77777777" w:rsidR="00034A69" w:rsidRDefault="00034A69">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569C2" w14:textId="77777777" w:rsidR="00F01150" w:rsidRDefault="00817E65">
    <w:pPr>
      <w:jc w:val="right"/>
      <w:rPr>
        <w:b/>
        <w:color w:val="674EA7"/>
      </w:rPr>
    </w:pPr>
    <w:r>
      <w:rPr>
        <w:noProof/>
      </w:rPr>
      <w:drawing>
        <wp:anchor distT="114300" distB="114300" distL="114300" distR="114300" simplePos="0" relativeHeight="251658240" behindDoc="0" locked="0" layoutInCell="1" hidden="0" allowOverlap="1" wp14:anchorId="72EAFD38" wp14:editId="3C013E09">
          <wp:simplePos x="0" y="0"/>
          <wp:positionH relativeFrom="column">
            <wp:posOffset>64009</wp:posOffset>
          </wp:positionH>
          <wp:positionV relativeFrom="paragraph">
            <wp:posOffset>1</wp:posOffset>
          </wp:positionV>
          <wp:extent cx="509588" cy="50958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9588" cy="509588"/>
                  </a:xfrm>
                  <a:prstGeom prst="rect">
                    <a:avLst/>
                  </a:prstGeom>
                  <a:ln/>
                </pic:spPr>
              </pic:pic>
            </a:graphicData>
          </a:graphic>
        </wp:anchor>
      </w:drawing>
    </w:r>
  </w:p>
  <w:p w14:paraId="1037184A" w14:textId="77777777" w:rsidR="00F01150" w:rsidRDefault="00817E65">
    <w:pPr>
      <w:jc w:val="right"/>
      <w:rPr>
        <w:b/>
        <w:color w:val="674EA7"/>
      </w:rPr>
    </w:pPr>
    <w:r>
      <w:rPr>
        <w:b/>
        <w:color w:val="674EA7"/>
      </w:rPr>
      <w:t xml:space="preserve">Conjunto de Ferramentas de </w:t>
    </w:r>
    <w:proofErr w:type="spellStart"/>
    <w:r>
      <w:rPr>
        <w:b/>
        <w:color w:val="674EA7"/>
      </w:rPr>
      <w:t>Acções</w:t>
    </w:r>
    <w:proofErr w:type="spellEnd"/>
    <w:r>
      <w:rPr>
        <w:b/>
        <w:color w:val="674EA7"/>
      </w:rPr>
      <w:t xml:space="preserve"> para a Sobrevivência da Criança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F4624" w14:textId="77777777" w:rsidR="00F01150" w:rsidRDefault="00F0115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F72"/>
    <w:multiLevelType w:val="multilevel"/>
    <w:tmpl w:val="E18C3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65D38"/>
    <w:multiLevelType w:val="multilevel"/>
    <w:tmpl w:val="340074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44559"/>
    <w:multiLevelType w:val="multilevel"/>
    <w:tmpl w:val="0A800E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D07B4"/>
    <w:multiLevelType w:val="hybridMultilevel"/>
    <w:tmpl w:val="95BCBCB8"/>
    <w:lvl w:ilvl="0" w:tplc="FFFFFFFF">
      <w:start w:val="1"/>
      <w:numFmt w:val="bullet"/>
      <w:lvlText w:val=""/>
      <w:lvlJc w:val="left"/>
      <w:pPr>
        <w:ind w:left="1800" w:hanging="360"/>
      </w:pPr>
      <w:rPr>
        <w:rFonts w:ascii="Symbol" w:hAnsi="Symbol" w:hint="default"/>
      </w:rPr>
    </w:lvl>
    <w:lvl w:ilvl="1" w:tplc="FE62AACE">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5B97FEA"/>
    <w:multiLevelType w:val="multilevel"/>
    <w:tmpl w:val="20A23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805D0B"/>
    <w:multiLevelType w:val="hybridMultilevel"/>
    <w:tmpl w:val="4C302C8C"/>
    <w:lvl w:ilvl="0" w:tplc="FE62AACE">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7774598"/>
    <w:multiLevelType w:val="hybridMultilevel"/>
    <w:tmpl w:val="14AE9E14"/>
    <w:lvl w:ilvl="0" w:tplc="FE62A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676F3"/>
    <w:multiLevelType w:val="multilevel"/>
    <w:tmpl w:val="F86CC9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B5211B"/>
    <w:multiLevelType w:val="multilevel"/>
    <w:tmpl w:val="748244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1AB05FA"/>
    <w:multiLevelType w:val="multilevel"/>
    <w:tmpl w:val="D888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373C81"/>
    <w:multiLevelType w:val="hybridMultilevel"/>
    <w:tmpl w:val="932A5F9E"/>
    <w:lvl w:ilvl="0" w:tplc="FFFFFFFF">
      <w:start w:val="1"/>
      <w:numFmt w:val="bullet"/>
      <w:lvlText w:val=""/>
      <w:lvlJc w:val="left"/>
      <w:pPr>
        <w:ind w:left="720" w:hanging="360"/>
      </w:pPr>
      <w:rPr>
        <w:rFonts w:ascii="Symbol" w:hAnsi="Symbol" w:hint="default"/>
      </w:rPr>
    </w:lvl>
    <w:lvl w:ilvl="1" w:tplc="FE62AAC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B12432"/>
    <w:multiLevelType w:val="hybridMultilevel"/>
    <w:tmpl w:val="51964462"/>
    <w:lvl w:ilvl="0" w:tplc="FFFFFFFF">
      <w:start w:val="1"/>
      <w:numFmt w:val="bullet"/>
      <w:lvlText w:val=""/>
      <w:lvlJc w:val="left"/>
      <w:pPr>
        <w:ind w:left="720" w:hanging="360"/>
      </w:pPr>
      <w:rPr>
        <w:rFonts w:ascii="Symbol" w:hAnsi="Symbol" w:hint="default"/>
      </w:rPr>
    </w:lvl>
    <w:lvl w:ilvl="1" w:tplc="FE62AAC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7AF2624"/>
    <w:multiLevelType w:val="multilevel"/>
    <w:tmpl w:val="C6B81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312AB4"/>
    <w:multiLevelType w:val="multilevel"/>
    <w:tmpl w:val="A184C0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1357BA"/>
    <w:multiLevelType w:val="multilevel"/>
    <w:tmpl w:val="A432A1D2"/>
    <w:lvl w:ilvl="0">
      <w:start w:val="1"/>
      <w:numFmt w:val="bullet"/>
      <w:lvlText w:val="●"/>
      <w:lvlJc w:val="left"/>
      <w:pPr>
        <w:ind w:left="720" w:hanging="360"/>
      </w:pPr>
      <w:rPr>
        <w:rFonts w:ascii="Merriweather" w:eastAsia="Merriweather" w:hAnsi="Merriweather" w:cs="Merriweather"/>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557D37"/>
    <w:multiLevelType w:val="multilevel"/>
    <w:tmpl w:val="95AEE1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F21A6C"/>
    <w:multiLevelType w:val="hybridMultilevel"/>
    <w:tmpl w:val="4ADA23FE"/>
    <w:lvl w:ilvl="0" w:tplc="FFFFFFFF">
      <w:start w:val="1"/>
      <w:numFmt w:val="bullet"/>
      <w:lvlText w:val=""/>
      <w:lvlJc w:val="left"/>
      <w:pPr>
        <w:ind w:left="1440" w:hanging="360"/>
      </w:pPr>
      <w:rPr>
        <w:rFonts w:ascii="Symbol" w:hAnsi="Symbol" w:hint="default"/>
      </w:rPr>
    </w:lvl>
    <w:lvl w:ilvl="1" w:tplc="FE62AACE">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7AD762D5"/>
    <w:multiLevelType w:val="hybridMultilevel"/>
    <w:tmpl w:val="C1A214D0"/>
    <w:lvl w:ilvl="0" w:tplc="FE62A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D3C1B"/>
    <w:multiLevelType w:val="hybridMultilevel"/>
    <w:tmpl w:val="199852C6"/>
    <w:lvl w:ilvl="0" w:tplc="FE62AACE">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62827260">
    <w:abstractNumId w:val="0"/>
  </w:num>
  <w:num w:numId="2" w16cid:durableId="690646592">
    <w:abstractNumId w:val="7"/>
  </w:num>
  <w:num w:numId="3" w16cid:durableId="1584757859">
    <w:abstractNumId w:val="9"/>
  </w:num>
  <w:num w:numId="4" w16cid:durableId="1716268728">
    <w:abstractNumId w:val="8"/>
  </w:num>
  <w:num w:numId="5" w16cid:durableId="256717142">
    <w:abstractNumId w:val="12"/>
  </w:num>
  <w:num w:numId="6" w16cid:durableId="796140780">
    <w:abstractNumId w:val="14"/>
  </w:num>
  <w:num w:numId="7" w16cid:durableId="1816945571">
    <w:abstractNumId w:val="4"/>
  </w:num>
  <w:num w:numId="8" w16cid:durableId="106387700">
    <w:abstractNumId w:val="13"/>
  </w:num>
  <w:num w:numId="9" w16cid:durableId="2074115448">
    <w:abstractNumId w:val="15"/>
  </w:num>
  <w:num w:numId="10" w16cid:durableId="2032339261">
    <w:abstractNumId w:val="6"/>
  </w:num>
  <w:num w:numId="11" w16cid:durableId="1811749771">
    <w:abstractNumId w:val="10"/>
  </w:num>
  <w:num w:numId="12" w16cid:durableId="665981545">
    <w:abstractNumId w:val="17"/>
  </w:num>
  <w:num w:numId="13" w16cid:durableId="1536968646">
    <w:abstractNumId w:val="11"/>
  </w:num>
  <w:num w:numId="14" w16cid:durableId="43647505">
    <w:abstractNumId w:val="18"/>
  </w:num>
  <w:num w:numId="15" w16cid:durableId="1271006478">
    <w:abstractNumId w:val="16"/>
  </w:num>
  <w:num w:numId="16" w16cid:durableId="1602302826">
    <w:abstractNumId w:val="5"/>
  </w:num>
  <w:num w:numId="17" w16cid:durableId="1094202753">
    <w:abstractNumId w:val="3"/>
  </w:num>
  <w:num w:numId="18" w16cid:durableId="884875796">
    <w:abstractNumId w:val="2"/>
  </w:num>
  <w:num w:numId="19" w16cid:durableId="132212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150"/>
    <w:rsid w:val="00034A69"/>
    <w:rsid w:val="00052CF4"/>
    <w:rsid w:val="000E171C"/>
    <w:rsid w:val="00125F2B"/>
    <w:rsid w:val="00143F9F"/>
    <w:rsid w:val="001C01DC"/>
    <w:rsid w:val="001D7DEA"/>
    <w:rsid w:val="002E5CE4"/>
    <w:rsid w:val="0035046B"/>
    <w:rsid w:val="003950F4"/>
    <w:rsid w:val="0042601A"/>
    <w:rsid w:val="004467BE"/>
    <w:rsid w:val="004D7F62"/>
    <w:rsid w:val="005217F1"/>
    <w:rsid w:val="00697E37"/>
    <w:rsid w:val="00755396"/>
    <w:rsid w:val="00794A06"/>
    <w:rsid w:val="00817E65"/>
    <w:rsid w:val="008725DD"/>
    <w:rsid w:val="00901AD3"/>
    <w:rsid w:val="00906EE8"/>
    <w:rsid w:val="00924BD6"/>
    <w:rsid w:val="0093593C"/>
    <w:rsid w:val="00970BD8"/>
    <w:rsid w:val="009968EF"/>
    <w:rsid w:val="009B045E"/>
    <w:rsid w:val="00A810A9"/>
    <w:rsid w:val="00A92919"/>
    <w:rsid w:val="00B353A6"/>
    <w:rsid w:val="00B50053"/>
    <w:rsid w:val="00C00FD1"/>
    <w:rsid w:val="00C43650"/>
    <w:rsid w:val="00C86117"/>
    <w:rsid w:val="00DA176C"/>
    <w:rsid w:val="00DF19A7"/>
    <w:rsid w:val="00E5599F"/>
    <w:rsid w:val="00F01150"/>
    <w:rsid w:val="00F171C5"/>
    <w:rsid w:val="00F2229D"/>
    <w:rsid w:val="00F536CE"/>
    <w:rsid w:val="00F67A59"/>
    <w:rsid w:val="00FF4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F2C6D"/>
  <w15:docId w15:val="{8D86CD18-41B1-44EC-A1A3-B207DFD0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pt-PT"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elanormal"/>
    <w:tblPr>
      <w:tblStyleRowBandSize w:val="1"/>
      <w:tblStyleColBandSize w:val="1"/>
      <w:tblCellMar>
        <w:top w:w="100" w:type="dxa"/>
        <w:left w:w="100" w:type="dxa"/>
        <w:bottom w:w="100" w:type="dxa"/>
        <w:right w:w="100" w:type="dxa"/>
      </w:tblCellMar>
    </w:tblPr>
  </w:style>
  <w:style w:type="table" w:customStyle="1" w:styleId="a0">
    <w:basedOn w:val="Tabelanormal"/>
    <w:tblPr>
      <w:tblStyleRowBandSize w:val="1"/>
      <w:tblStyleColBandSize w:val="1"/>
      <w:tblCellMar>
        <w:top w:w="100" w:type="dxa"/>
        <w:left w:w="100" w:type="dxa"/>
        <w:bottom w:w="100" w:type="dxa"/>
        <w:right w:w="100" w:type="dxa"/>
      </w:tblCellMar>
    </w:tblPr>
  </w:style>
  <w:style w:type="table" w:customStyle="1" w:styleId="a1">
    <w:basedOn w:val="Tabelanormal"/>
    <w:tblPr>
      <w:tblStyleRowBandSize w:val="1"/>
      <w:tblStyleColBandSize w:val="1"/>
      <w:tblCellMar>
        <w:top w:w="100" w:type="dxa"/>
        <w:left w:w="100" w:type="dxa"/>
        <w:bottom w:w="100" w:type="dxa"/>
        <w:right w:w="100" w:type="dxa"/>
      </w:tblCellMar>
    </w:tblPr>
  </w:style>
  <w:style w:type="table" w:customStyle="1" w:styleId="a2">
    <w:basedOn w:val="Tabelanormal"/>
    <w:tblPr>
      <w:tblStyleRowBandSize w:val="1"/>
      <w:tblStyleColBandSize w:val="1"/>
      <w:tblCellMar>
        <w:top w:w="100" w:type="dxa"/>
        <w:left w:w="100" w:type="dxa"/>
        <w:bottom w:w="100" w:type="dxa"/>
        <w:right w:w="100" w:type="dxa"/>
      </w:tblCellMar>
    </w:tblPr>
  </w:style>
  <w:style w:type="table" w:customStyle="1" w:styleId="a3">
    <w:basedOn w:val="Tabelanormal"/>
    <w:tblPr>
      <w:tblStyleRowBandSize w:val="1"/>
      <w:tblStyleColBandSize w:val="1"/>
      <w:tblCellMar>
        <w:top w:w="100" w:type="dxa"/>
        <w:left w:w="100" w:type="dxa"/>
        <w:bottom w:w="100" w:type="dxa"/>
        <w:right w:w="100" w:type="dxa"/>
      </w:tblCellMar>
    </w:tblPr>
  </w:style>
  <w:style w:type="table" w:customStyle="1" w:styleId="a4">
    <w:basedOn w:val="Tabelanormal"/>
    <w:tblPr>
      <w:tblStyleRowBandSize w:val="1"/>
      <w:tblStyleColBandSize w:val="1"/>
      <w:tblCellMar>
        <w:top w:w="100" w:type="dxa"/>
        <w:left w:w="100" w:type="dxa"/>
        <w:bottom w:w="100" w:type="dxa"/>
        <w:right w:w="100" w:type="dxa"/>
      </w:tblCellMar>
    </w:tblPr>
  </w:style>
  <w:style w:type="table" w:customStyle="1" w:styleId="a5">
    <w:basedOn w:val="Tabelanormal"/>
    <w:tblPr>
      <w:tblStyleRowBandSize w:val="1"/>
      <w:tblStyleColBandSize w:val="1"/>
      <w:tblCellMar>
        <w:top w:w="100" w:type="dxa"/>
        <w:left w:w="100" w:type="dxa"/>
        <w:bottom w:w="100" w:type="dxa"/>
        <w:right w:w="100" w:type="dxa"/>
      </w:tblCellMar>
    </w:tblPr>
  </w:style>
  <w:style w:type="table" w:customStyle="1" w:styleId="a6">
    <w:basedOn w:val="Tabelanormal"/>
    <w:tblPr>
      <w:tblStyleRowBandSize w:val="1"/>
      <w:tblStyleColBandSize w:val="1"/>
      <w:tblCellMar>
        <w:top w:w="100" w:type="dxa"/>
        <w:left w:w="100" w:type="dxa"/>
        <w:bottom w:w="100" w:type="dxa"/>
        <w:right w:w="100" w:type="dxa"/>
      </w:tblCellMar>
    </w:tblPr>
  </w:style>
  <w:style w:type="table" w:customStyle="1" w:styleId="a7">
    <w:basedOn w:val="Tabelanormal"/>
    <w:tblPr>
      <w:tblStyleRowBandSize w:val="1"/>
      <w:tblStyleColBandSize w:val="1"/>
      <w:tblCellMar>
        <w:top w:w="100" w:type="dxa"/>
        <w:left w:w="100" w:type="dxa"/>
        <w:bottom w:w="100" w:type="dxa"/>
        <w:right w:w="100" w:type="dxa"/>
      </w:tblCellMar>
    </w:tblPr>
  </w:style>
  <w:style w:type="table" w:customStyle="1" w:styleId="a8">
    <w:basedOn w:val="Tabelanormal"/>
    <w:tblPr>
      <w:tblStyleRowBandSize w:val="1"/>
      <w:tblStyleColBandSize w:val="1"/>
      <w:tblCellMar>
        <w:top w:w="100" w:type="dxa"/>
        <w:left w:w="100" w:type="dxa"/>
        <w:bottom w:w="100" w:type="dxa"/>
        <w:right w:w="100" w:type="dxa"/>
      </w:tblCellMar>
    </w:tblPr>
  </w:style>
  <w:style w:type="table" w:customStyle="1" w:styleId="a9">
    <w:basedOn w:val="Tabelanormal"/>
    <w:tblPr>
      <w:tblStyleRowBandSize w:val="1"/>
      <w:tblStyleColBandSize w:val="1"/>
      <w:tblCellMar>
        <w:top w:w="100" w:type="dxa"/>
        <w:left w:w="100" w:type="dxa"/>
        <w:bottom w:w="100" w:type="dxa"/>
        <w:right w:w="100" w:type="dxa"/>
      </w:tblCellMar>
    </w:tblPr>
  </w:style>
  <w:style w:type="table" w:customStyle="1" w:styleId="aa">
    <w:basedOn w:val="Tabelanormal"/>
    <w:tblPr>
      <w:tblStyleRowBandSize w:val="1"/>
      <w:tblStyleColBandSize w:val="1"/>
      <w:tblCellMar>
        <w:top w:w="100" w:type="dxa"/>
        <w:left w:w="100" w:type="dxa"/>
        <w:bottom w:w="100" w:type="dxa"/>
        <w:right w:w="100" w:type="dxa"/>
      </w:tblCellMar>
    </w:tblPr>
  </w:style>
  <w:style w:type="table" w:customStyle="1" w:styleId="ab">
    <w:basedOn w:val="Tabelanormal"/>
    <w:tblPr>
      <w:tblStyleRowBandSize w:val="1"/>
      <w:tblStyleColBandSize w:val="1"/>
      <w:tblCellMar>
        <w:top w:w="100" w:type="dxa"/>
        <w:left w:w="100" w:type="dxa"/>
        <w:bottom w:w="100" w:type="dxa"/>
        <w:right w:w="100" w:type="dxa"/>
      </w:tblCellMar>
    </w:tblPr>
  </w:style>
  <w:style w:type="table" w:customStyle="1" w:styleId="ac">
    <w:basedOn w:val="Tabelanormal"/>
    <w:tblPr>
      <w:tblStyleRowBandSize w:val="1"/>
      <w:tblStyleColBandSize w:val="1"/>
      <w:tblCellMar>
        <w:top w:w="100" w:type="dxa"/>
        <w:left w:w="100" w:type="dxa"/>
        <w:bottom w:w="100" w:type="dxa"/>
        <w:right w:w="100" w:type="dxa"/>
      </w:tblCellMar>
    </w:tblPr>
  </w:style>
  <w:style w:type="table" w:customStyle="1" w:styleId="ad">
    <w:basedOn w:val="Tabelanormal"/>
    <w:tblPr>
      <w:tblStyleRowBandSize w:val="1"/>
      <w:tblStyleColBandSize w:val="1"/>
      <w:tblCellMar>
        <w:top w:w="100" w:type="dxa"/>
        <w:left w:w="100" w:type="dxa"/>
        <w:bottom w:w="100" w:type="dxa"/>
        <w:right w:w="100" w:type="dxa"/>
      </w:tblCellMar>
    </w:tblPr>
  </w:style>
  <w:style w:type="character" w:styleId="Hiperligao">
    <w:name w:val="Hyperlink"/>
    <w:basedOn w:val="Tipodeletrapredefinidodopargrafo"/>
    <w:uiPriority w:val="99"/>
    <w:unhideWhenUsed/>
    <w:rsid w:val="004467BE"/>
    <w:rPr>
      <w:color w:val="0000FF" w:themeColor="hyperlink"/>
      <w:u w:val="single"/>
    </w:rPr>
  </w:style>
  <w:style w:type="character" w:styleId="MenoNoResolvida">
    <w:name w:val="Unresolved Mention"/>
    <w:basedOn w:val="Tipodeletrapredefinidodopargrafo"/>
    <w:uiPriority w:val="99"/>
    <w:semiHidden/>
    <w:unhideWhenUsed/>
    <w:rsid w:val="004467BE"/>
    <w:rPr>
      <w:color w:val="605E5C"/>
      <w:shd w:val="clear" w:color="auto" w:fill="E1DFDD"/>
    </w:rPr>
  </w:style>
  <w:style w:type="paragraph" w:styleId="PargrafodaLista">
    <w:name w:val="List Paragraph"/>
    <w:basedOn w:val="Normal"/>
    <w:uiPriority w:val="34"/>
    <w:qFormat/>
    <w:rsid w:val="00125F2B"/>
    <w:pPr>
      <w:ind w:left="720"/>
      <w:contextualSpacing/>
    </w:pPr>
  </w:style>
  <w:style w:type="paragraph" w:styleId="Cabealho">
    <w:name w:val="header"/>
    <w:basedOn w:val="Normal"/>
    <w:link w:val="CabealhoCarter"/>
    <w:uiPriority w:val="99"/>
    <w:unhideWhenUsed/>
    <w:rsid w:val="00034A69"/>
    <w:pPr>
      <w:tabs>
        <w:tab w:val="center" w:pos="4513"/>
        <w:tab w:val="right" w:pos="9026"/>
      </w:tabs>
      <w:spacing w:line="240" w:lineRule="auto"/>
    </w:pPr>
  </w:style>
  <w:style w:type="character" w:customStyle="1" w:styleId="CabealhoCarter">
    <w:name w:val="Cabeçalho Caráter"/>
    <w:basedOn w:val="Tipodeletrapredefinidodopargrafo"/>
    <w:link w:val="Cabealho"/>
    <w:uiPriority w:val="99"/>
    <w:rsid w:val="00034A69"/>
  </w:style>
  <w:style w:type="paragraph" w:styleId="Rodap">
    <w:name w:val="footer"/>
    <w:basedOn w:val="Normal"/>
    <w:link w:val="RodapCarter"/>
    <w:uiPriority w:val="99"/>
    <w:unhideWhenUsed/>
    <w:rsid w:val="00034A69"/>
    <w:pPr>
      <w:tabs>
        <w:tab w:val="center" w:pos="4513"/>
        <w:tab w:val="right" w:pos="9026"/>
      </w:tabs>
      <w:spacing w:line="240" w:lineRule="auto"/>
    </w:pPr>
  </w:style>
  <w:style w:type="character" w:customStyle="1" w:styleId="RodapCarter">
    <w:name w:val="Rodapé Caráter"/>
    <w:basedOn w:val="Tipodeletrapredefinidodopargrafo"/>
    <w:link w:val="Rodap"/>
    <w:uiPriority w:val="99"/>
    <w:rsid w:val="00034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4117">
      <w:bodyDiv w:val="1"/>
      <w:marLeft w:val="0"/>
      <w:marRight w:val="0"/>
      <w:marTop w:val="0"/>
      <w:marBottom w:val="0"/>
      <w:divBdr>
        <w:top w:val="none" w:sz="0" w:space="0" w:color="auto"/>
        <w:left w:val="none" w:sz="0" w:space="0" w:color="auto"/>
        <w:bottom w:val="none" w:sz="0" w:space="0" w:color="auto"/>
        <w:right w:val="none" w:sz="0" w:space="0" w:color="auto"/>
      </w:divBdr>
    </w:div>
    <w:div w:id="752969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ZBook%20G5\Downloads\Media%20Advocacy%20Guide" TargetMode="External"/><Relationship Id="rId18" Type="http://schemas.openxmlformats.org/officeDocument/2006/relationships/hyperlink" Target="https://www.childhealthtaskforce.org/hubs/child-survival-action/toolkit/review-analysis" TargetMode="External"/><Relationship Id="rId26" Type="http://schemas.openxmlformats.org/officeDocument/2006/relationships/hyperlink" Target="http://equist.info" TargetMode="External"/><Relationship Id="rId39" Type="http://schemas.openxmlformats.org/officeDocument/2006/relationships/header" Target="header1.xml"/><Relationship Id="rId21" Type="http://schemas.openxmlformats.org/officeDocument/2006/relationships/hyperlink" Target="https://www.childhealthtaskforce.org/resources/guide/2024/overview-tools-support-prioritization-and-costing-exercises" TargetMode="External"/><Relationship Id="rId34" Type="http://schemas.openxmlformats.org/officeDocument/2006/relationships/hyperlink" Target="https://www.childhealthtaskforce.org/resources/guide/2024/results-framework-accountability-advocacy-and-action" TargetMode="External"/><Relationship Id="rId42" Type="http://schemas.openxmlformats.org/officeDocument/2006/relationships/footer" Target="footer2.xml"/><Relationship Id="rId7" Type="http://schemas.openxmlformats.org/officeDocument/2006/relationships/hyperlink" Target="https://www.childhealthtaskforce.org/hubs/child-survival-action/toolkit" TargetMode="External"/><Relationship Id="rId2" Type="http://schemas.openxmlformats.org/officeDocument/2006/relationships/styles" Target="styles.xml"/><Relationship Id="rId16" Type="http://schemas.openxmlformats.org/officeDocument/2006/relationships/hyperlink" Target="https://www.childhealthtaskforce.org/hubs/child-survival-action/toolkit/advocacy-and-stakeholder-engagement" TargetMode="External"/><Relationship Id="rId29" Type="http://schemas.openxmlformats.org/officeDocument/2006/relationships/hyperlink" Target="https://www.childhealthtaskforce.org/resources/tool/2024/child-survival-action-plan-templ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ildhealthtaskforce.org/resources/guide/2024/stakeholder-engagement-guide" TargetMode="External"/><Relationship Id="rId24" Type="http://schemas.openxmlformats.org/officeDocument/2006/relationships/hyperlink" Target="https://www.livessavedtool.org/" TargetMode="External"/><Relationship Id="rId32" Type="http://schemas.openxmlformats.org/officeDocument/2006/relationships/hyperlink" Target="https://www.childhealthtaskforce.org/hubs/child-survival-action/toolkit/implementation" TargetMode="External"/><Relationship Id="rId37" Type="http://schemas.openxmlformats.org/officeDocument/2006/relationships/hyperlink" Target="https://cdn.who.int/media/docs/default-source/mca-documents/eme/mncah-programme-review-data-tool_vf_feb2024.xlsx?sfvrsn=b9fababe_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ildhealthtaskforce.org/resources/guide/2024/budget-advocacy-guide" TargetMode="External"/><Relationship Id="rId23" Type="http://schemas.openxmlformats.org/officeDocument/2006/relationships/hyperlink" Target="https://www.childhealthtaskforce.org/resources/guide/2024/recommendations-using-onehealth" TargetMode="External"/><Relationship Id="rId28" Type="http://schemas.openxmlformats.org/officeDocument/2006/relationships/hyperlink" Target="https://www.childhealthtaskforce.org/resources/tool/2024/example-terms-reference-developing-child-survival-action-plan" TargetMode="External"/><Relationship Id="rId36" Type="http://schemas.openxmlformats.org/officeDocument/2006/relationships/hyperlink" Target="https://www.who.int/publications/i/item/9789240088900" TargetMode="External"/><Relationship Id="rId10" Type="http://schemas.openxmlformats.org/officeDocument/2006/relationships/hyperlink" Target="https://www.childhealthtaskforce.org/resources/report/2024/child-survival-action-two-pager" TargetMode="External"/><Relationship Id="rId19"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childhealthtaskforce.org/resources/tool/2024/example-letter-opinion-leader-child-survival-action" TargetMode="External"/><Relationship Id="rId14" Type="http://schemas.openxmlformats.org/officeDocument/2006/relationships/hyperlink" Target="https://iris.who.int/handle/10665/376229" TargetMode="External"/><Relationship Id="rId22" Type="http://schemas.openxmlformats.org/officeDocument/2006/relationships/hyperlink" Target="https://avenirhealth.org/software-onehealth.php" TargetMode="External"/><Relationship Id="rId27" Type="http://schemas.openxmlformats.org/officeDocument/2006/relationships/hyperlink" Target="https://www.childhealthtaskforce.org/resources/guide/recommendations-using-equist" TargetMode="External"/><Relationship Id="rId30" Type="http://schemas.openxmlformats.org/officeDocument/2006/relationships/hyperlink" Target="https://www.childhealthtaskforce.org/hubs/child-survival-action/toolkit/planning-costing" TargetMode="External"/><Relationship Id="rId35" Type="http://schemas.openxmlformats.org/officeDocument/2006/relationships/hyperlink" Target="https://www.who.int/publications/i/item/9789240088221"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chttps://www.childhealthtaskforce.org/resources/tool/2024/example-terms-reference-technical-working-group-child-survival" TargetMode="External"/><Relationship Id="rId17" Type="http://schemas.openxmlformats.org/officeDocument/2006/relationships/image" Target="media/image2.png"/><Relationship Id="rId25" Type="http://schemas.openxmlformats.org/officeDocument/2006/relationships/hyperlink" Target="https://www.childhealthtaskforce.org/resources/guide/2024/recommendations-using-list" TargetMode="External"/><Relationship Id="rId33" Type="http://schemas.openxmlformats.org/officeDocument/2006/relationships/image" Target="media/image5.png"/><Relationship Id="rId38" Type="http://schemas.openxmlformats.org/officeDocument/2006/relationships/hyperlink" Target="https://www.childhealthtaskforce.org/hubs/child-survival-action/toolkit/measure-results-impact" TargetMode="External"/><Relationship Id="rId46" Type="http://schemas.openxmlformats.org/officeDocument/2006/relationships/theme" Target="theme/theme1.xml"/><Relationship Id="rId20" Type="http://schemas.openxmlformats.org/officeDocument/2006/relationships/hyperlink" Target="https://www.childhealthtaskforce.org/resources/presentation/2024/csa-prioritization-workshop-group-exercise"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3354</Words>
  <Characters>19122</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dc:creator>
  <cp:lastModifiedBy>Zeferino Fanequiço</cp:lastModifiedBy>
  <cp:revision>3</cp:revision>
  <cp:lastPrinted>2024-05-29T11:41:00Z</cp:lastPrinted>
  <dcterms:created xsi:type="dcterms:W3CDTF">2024-09-18T18:44:00Z</dcterms:created>
  <dcterms:modified xsi:type="dcterms:W3CDTF">2024-09-29T13:10:00Z</dcterms:modified>
</cp:coreProperties>
</file>